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8B" w:rsidRPr="00F4758B" w:rsidRDefault="00F4758B" w:rsidP="00F4758B">
      <w:pPr>
        <w:pStyle w:val="2"/>
        <w:jc w:val="center"/>
        <w:rPr>
          <w:rFonts w:hint="eastAsia"/>
        </w:rPr>
      </w:pPr>
      <w:r w:rsidRPr="00F4758B">
        <w:rPr>
          <w:rFonts w:hint="eastAsia"/>
        </w:rPr>
        <w:t>龙泉市人民政府办公室</w:t>
      </w:r>
    </w:p>
    <w:p w:rsidR="00F4758B" w:rsidRPr="00F4758B" w:rsidRDefault="00F4758B" w:rsidP="00F4758B">
      <w:pPr>
        <w:pStyle w:val="2"/>
        <w:jc w:val="center"/>
        <w:rPr>
          <w:rFonts w:hint="eastAsia"/>
        </w:rPr>
      </w:pPr>
      <w:r w:rsidRPr="00F4758B">
        <w:rPr>
          <w:rFonts w:hint="eastAsia"/>
        </w:rPr>
        <w:t>关于印发《龙泉青瓷文化创意基地</w:t>
      </w:r>
      <w:r w:rsidRPr="00F4758B">
        <w:t>—</w:t>
      </w:r>
      <w:r w:rsidRPr="00F4758B">
        <w:rPr>
          <w:rFonts w:hint="eastAsia"/>
        </w:rPr>
        <w:t>大师教授</w:t>
      </w:r>
    </w:p>
    <w:p w:rsidR="00F4758B" w:rsidRPr="00F4758B" w:rsidRDefault="00F4758B" w:rsidP="00F4758B">
      <w:pPr>
        <w:pStyle w:val="2"/>
        <w:jc w:val="center"/>
        <w:rPr>
          <w:rFonts w:hint="eastAsia"/>
        </w:rPr>
      </w:pPr>
      <w:r w:rsidRPr="00F4758B">
        <w:rPr>
          <w:rFonts w:hint="eastAsia"/>
        </w:rPr>
        <w:t>传承园入园政策》的通知</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各乡镇人民政府、街道办事处，市政府直属各单位： </w:t>
      </w:r>
    </w:p>
    <w:p w:rsidR="00F4758B" w:rsidRPr="00E36BDB" w:rsidRDefault="00F4758B" w:rsidP="00E36BDB">
      <w:pPr>
        <w:ind w:firstLineChars="200" w:firstLine="600"/>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《龙泉青瓷文化创意基地--大师教授传承园入园政策》已经市政府第十二次常务会议研究通过，现印发给你们，请遵照执行。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jc w:val="right"/>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龙泉市人民政府办公室 </w:t>
      </w:r>
    </w:p>
    <w:p w:rsidR="00F4758B" w:rsidRPr="00E36BDB" w:rsidRDefault="00F4758B" w:rsidP="00F4758B">
      <w:pPr>
        <w:jc w:val="right"/>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2017 年 12 月8日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 </w:t>
      </w:r>
      <w:r w:rsidRPr="00E36BDB">
        <w:rPr>
          <w:rFonts w:asciiTheme="minorEastAsia" w:eastAsiaTheme="minorEastAsia" w:hAnsiTheme="minorEastAsia" w:hint="eastAsia"/>
          <w:sz w:val="30"/>
          <w:szCs w:val="30"/>
        </w:rPr>
        <w:t xml:space="preserve"> </w:t>
      </w:r>
      <w:r w:rsidRPr="00E36BDB">
        <w:rPr>
          <w:rFonts w:asciiTheme="minorEastAsia" w:eastAsiaTheme="minorEastAsia" w:hAnsiTheme="minorEastAsia" w:hint="eastAsia"/>
          <w:sz w:val="30"/>
          <w:szCs w:val="30"/>
        </w:rPr>
        <w:t xml:space="preserve">（此件公开发布）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E36BDB">
      <w:pPr>
        <w:jc w:val="cente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lastRenderedPageBreak/>
        <w:t>《龙泉青瓷文化创意基地--大师教授传承园入园政策》</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E36BDB">
      <w:pPr>
        <w:ind w:firstLineChars="200" w:firstLine="600"/>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为传承和弘扬青瓷文化，提升龙泉青瓷产业，经广泛征求青瓷大师和社会各界人士意见，特制订龙泉青瓷文化创意基地--大师教授传承园入园政策。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一、基本情况 </w:t>
      </w:r>
    </w:p>
    <w:p w:rsidR="00F4758B" w:rsidRPr="00E36BDB" w:rsidRDefault="00F4758B" w:rsidP="00E36BDB">
      <w:pPr>
        <w:ind w:firstLineChars="200" w:firstLine="600"/>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大师教授传承园已建设大师工作室共 46 套，总占地面积约45500 平方米，总建筑面积约 28760 平方米，其中大套型工作室每套建筑面积约1585平方米，共 10 套；小套型工作室每套建筑面积约360平方米，共 36 </w:t>
      </w:r>
      <w:r w:rsidRPr="00E36BDB">
        <w:rPr>
          <w:rFonts w:asciiTheme="minorEastAsia" w:eastAsiaTheme="minorEastAsia" w:hAnsiTheme="minorEastAsia" w:hint="eastAsia"/>
          <w:sz w:val="30"/>
          <w:szCs w:val="30"/>
        </w:rPr>
        <w:t>套。除市政府预留部分工作室外，其余</w:t>
      </w:r>
      <w:r w:rsidRPr="00E36BDB">
        <w:rPr>
          <w:rFonts w:asciiTheme="minorEastAsia" w:eastAsiaTheme="minorEastAsia" w:hAnsiTheme="minorEastAsia" w:hint="eastAsia"/>
          <w:sz w:val="30"/>
          <w:szCs w:val="30"/>
        </w:rPr>
        <w:t xml:space="preserve">面向入园对象销售。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二、入园对象 </w:t>
      </w:r>
    </w:p>
    <w:p w:rsidR="00F4758B" w:rsidRPr="00E36BDB" w:rsidRDefault="00F4758B" w:rsidP="00E36BDB">
      <w:pPr>
        <w:ind w:firstLineChars="200" w:firstLine="600"/>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入园者必须是以在龙泉境内从事龙泉青瓷生产和传承的丽水市级及以上龙泉青瓷烧制技艺代表性传承人、丽水市级及以上工艺美术大师、省级及以上中国陶瓷艺术大师、中国工美行业大师和对龙泉青瓷行业有突出贡献的人士为法人代表的企业。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三、出售办法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（一）符合入园条件的企业仅限购一套大套型工作室或两套小套型工作室。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（二）按评分标准总分的高低确定工作室挑选先后顺序。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（三）工作室按建设成本价销售，销售价格为3680 元/平方米。 </w:t>
      </w:r>
    </w:p>
    <w:p w:rsidR="004358A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（四）工作室出让土地的性质为科研教育用地。</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四、评分标准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入园对象得分按以下（一）、（二）、（三）项组成，满分为100分。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（一）按入园对象是否为龙泉青瓷烧制技艺代表性传承人、工艺美术大师、陶瓷艺术大师三个项目进行评分，三项分值累计计分（同一类项目按最高分值计取），最高分为 40分。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lastRenderedPageBreak/>
        <w:t xml:space="preserve">（二）社会贡献。按照入园对象近3年来的纳税额度（以国税、地税的纳税纪录为准）及慈善捐助、捐赠额度（以正规票据和证书为准）进行评分，最高得分为 40分。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（三）综合评价。最高得分为 20分。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（四）如出现两个及以上入园对象总分相同的情况，依次按评分细则中（1）、（2）、（3）项评分项目中得分高低确定先后顺序。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五、其它规定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（一）入园企业必须从事龙泉青瓷的生产与传承，确因其他原因需转让的须经市政府文化主管部门批准同意，且转让的对象必须符合入园政策的要求。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二）已入住大师园（一期）的大师，有两个以上直系亲属的，至少须确定一个直系亲属作为大师园（一期）的传承人从事青瓷行业生产和传承，其余直系亲属为法人代表的企业且符合入园条件的，经认定后可提出入园申请。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（三）入园对象在签订入园协议之日起，每年需无偿捐赠</w:t>
      </w:r>
      <w:r w:rsidRPr="00E36BDB">
        <w:rPr>
          <w:rFonts w:asciiTheme="minorEastAsia" w:eastAsiaTheme="minorEastAsia" w:hAnsiTheme="minorEastAsia" w:hint="eastAsia"/>
          <w:sz w:val="30"/>
          <w:szCs w:val="30"/>
        </w:rPr>
        <w:t xml:space="preserve"> 1</w:t>
      </w:r>
      <w:r w:rsidRPr="00E36BDB">
        <w:rPr>
          <w:rFonts w:asciiTheme="minorEastAsia" w:eastAsiaTheme="minorEastAsia" w:hAnsiTheme="minorEastAsia" w:hint="eastAsia"/>
          <w:sz w:val="30"/>
          <w:szCs w:val="30"/>
        </w:rPr>
        <w:t>件青瓷精品给市博物馆收藏，该精品须由市博物馆认定认可，市博物馆发给收藏证书。</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（四） 入园企业缴纳入园保证金后（大套型 50 万元、小套型 15 万元）与市政府签订入园协议。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（五）大师教授传承园为开放式园区，入园企业不得擅自设置隔离设施。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六、其他</w:t>
      </w:r>
      <w:r w:rsidRPr="00E36BDB">
        <w:rPr>
          <w:rFonts w:asciiTheme="minorEastAsia" w:eastAsiaTheme="minorEastAsia" w:hAnsiTheme="minorEastAsia" w:hint="eastAsia"/>
          <w:sz w:val="30"/>
          <w:szCs w:val="30"/>
        </w:rPr>
        <w:t xml:space="preserve">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本政策自发布之日起施行。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附件：《龙泉青瓷文化创意基地--大师教授传承园入园政策》</w:t>
      </w:r>
    </w:p>
    <w:p w:rsidR="00F4758B" w:rsidRPr="00E36BDB" w:rsidRDefault="00F4758B" w:rsidP="00F4758B">
      <w:pPr>
        <w:rPr>
          <w:rFonts w:asciiTheme="minorEastAsia" w:eastAsiaTheme="minorEastAsia" w:hAnsiTheme="minorEastAsia" w:hint="eastAsia"/>
          <w:sz w:val="30"/>
          <w:szCs w:val="30"/>
        </w:rPr>
      </w:pP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评分细则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lastRenderedPageBreak/>
        <w:t xml:space="preserve">附件： </w:t>
      </w:r>
    </w:p>
    <w:p w:rsidR="00F4758B" w:rsidRPr="00E36BDB" w:rsidRDefault="00F4758B" w:rsidP="00E36BDB">
      <w:pPr>
        <w:jc w:val="center"/>
        <w:rPr>
          <w:rFonts w:asciiTheme="minorEastAsia" w:eastAsiaTheme="minorEastAsia" w:hAnsiTheme="minorEastAsia"/>
          <w:sz w:val="30"/>
          <w:szCs w:val="30"/>
        </w:rPr>
      </w:pPr>
      <w:r w:rsidRPr="00E36BDB">
        <w:rPr>
          <w:rFonts w:asciiTheme="minorEastAsia" w:eastAsiaTheme="minorEastAsia" w:hAnsiTheme="minorEastAsia"/>
          <w:sz w:val="30"/>
          <w:szCs w:val="30"/>
        </w:rPr>
        <w:t>《龙泉青瓷文化创意基地--大师教授传承园 入园政策》评分细则</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br/>
        <w:t xml:space="preserve">一、评分要素及权重 </w:t>
      </w:r>
      <w:r w:rsidRPr="00E36BDB">
        <w:rPr>
          <w:rFonts w:asciiTheme="minorEastAsia" w:eastAsiaTheme="minorEastAsia" w:hAnsiTheme="minorEastAsia"/>
          <w:sz w:val="30"/>
          <w:szCs w:val="30"/>
        </w:rPr>
        <w:br/>
        <w:t xml:space="preserve">（一）龙泉青瓷烧制技艺代表性传承人、工艺美术大师、陶瓷艺术大师等三项进行评选（满分40分）。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（二）社会贡献（满分40分）。 </w:t>
      </w:r>
      <w:r w:rsidRPr="00E36BDB">
        <w:rPr>
          <w:rFonts w:asciiTheme="minorEastAsia" w:eastAsiaTheme="minorEastAsia" w:hAnsiTheme="minorEastAsia"/>
          <w:sz w:val="30"/>
          <w:szCs w:val="30"/>
        </w:rPr>
        <w:br/>
        <w:t xml:space="preserve">（三）综合评分（满分20分）。 </w:t>
      </w:r>
      <w:r w:rsidRPr="00E36BDB">
        <w:rPr>
          <w:rFonts w:asciiTheme="minorEastAsia" w:eastAsiaTheme="minorEastAsia" w:hAnsiTheme="minorEastAsia"/>
          <w:sz w:val="30"/>
          <w:szCs w:val="30"/>
        </w:rPr>
        <w:br/>
        <w:t xml:space="preserve">二、评分细则 </w:t>
      </w:r>
      <w:r w:rsidRPr="00E36BDB">
        <w:rPr>
          <w:rFonts w:asciiTheme="minorEastAsia" w:eastAsiaTheme="minorEastAsia" w:hAnsiTheme="minorEastAsia"/>
          <w:sz w:val="30"/>
          <w:szCs w:val="30"/>
        </w:rPr>
        <w:br/>
        <w:t xml:space="preserve">（一）龙泉青瓷烧制技艺代表性传承人、工艺美术大师、陶瓷艺术大师等三项的评选（满分40分）：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noProof/>
          <w:sz w:val="30"/>
          <w:szCs w:val="30"/>
        </w:rPr>
        <w:drawing>
          <wp:inline distT="0" distB="0" distL="0" distR="0">
            <wp:extent cx="5274310" cy="2540136"/>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74310" cy="2540136"/>
                    </a:xfrm>
                    <a:prstGeom prst="rect">
                      <a:avLst/>
                    </a:prstGeom>
                    <a:noFill/>
                    <a:ln w="9525">
                      <a:noFill/>
                      <a:miter lim="800000"/>
                      <a:headEnd/>
                      <a:tailEnd/>
                    </a:ln>
                  </pic:spPr>
                </pic:pic>
              </a:graphicData>
            </a:graphic>
          </wp:inline>
        </w:drawing>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（二）社会贡献（满分 40 分）：</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noProof/>
          <w:sz w:val="30"/>
          <w:szCs w:val="30"/>
        </w:rPr>
        <w:drawing>
          <wp:inline distT="0" distB="0" distL="0" distR="0">
            <wp:extent cx="5274310" cy="1045998"/>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274310" cy="1045998"/>
                    </a:xfrm>
                    <a:prstGeom prst="rect">
                      <a:avLst/>
                    </a:prstGeom>
                    <a:noFill/>
                    <a:ln w="9525">
                      <a:noFill/>
                      <a:miter lim="800000"/>
                      <a:headEnd/>
                      <a:tailEnd/>
                    </a:ln>
                  </pic:spPr>
                </pic:pic>
              </a:graphicData>
            </a:graphic>
          </wp:inline>
        </w:drawing>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1.近3年上缴税收（满分 30分） </w:t>
      </w:r>
    </w:p>
    <w:p w:rsidR="00F4758B" w:rsidRPr="00E36BDB" w:rsidRDefault="00F4758B" w:rsidP="00E36BDB">
      <w:pPr>
        <w:ind w:firstLineChars="200" w:firstLine="600"/>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2014 年-2016 年连续三年上缴税收（含国、地税）总额最高者为满分 30 分，其余对象计分按本企业缴税总额与最高企业缴税总额对应比例计分。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lastRenderedPageBreak/>
        <w:t>计算公式为：本企业税收得分</w:t>
      </w:r>
      <w:r w:rsidR="00E36BDB">
        <w:rPr>
          <w:rFonts w:asciiTheme="minorEastAsia" w:eastAsiaTheme="minorEastAsia" w:hAnsiTheme="minorEastAsia" w:hint="eastAsia"/>
          <w:sz w:val="30"/>
          <w:szCs w:val="30"/>
        </w:rPr>
        <w:t>=</w:t>
      </w:r>
      <w:r w:rsidRPr="00E36BDB">
        <w:rPr>
          <w:rFonts w:asciiTheme="minorEastAsia" w:eastAsiaTheme="minorEastAsia" w:hAnsiTheme="minorEastAsia" w:hint="eastAsia"/>
          <w:sz w:val="30"/>
          <w:szCs w:val="30"/>
        </w:rPr>
        <w:t>本企业缴税总额</w:t>
      </w:r>
      <w:r w:rsidR="00E36BDB">
        <w:rPr>
          <w:rFonts w:asciiTheme="minorEastAsia" w:eastAsiaTheme="minorEastAsia" w:hAnsiTheme="minorEastAsia" w:hint="eastAsia"/>
          <w:sz w:val="30"/>
          <w:szCs w:val="30"/>
        </w:rPr>
        <w:t>/</w:t>
      </w:r>
      <w:r w:rsidRPr="00E36BDB">
        <w:rPr>
          <w:rFonts w:asciiTheme="minorEastAsia" w:eastAsiaTheme="minorEastAsia" w:hAnsiTheme="minorEastAsia" w:hint="eastAsia"/>
          <w:sz w:val="30"/>
          <w:szCs w:val="30"/>
        </w:rPr>
        <w:t xml:space="preserve">最高缴税总额  ×30 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2.慈善捐助捐赠（满分 10分） </w:t>
      </w:r>
    </w:p>
    <w:p w:rsidR="00E36BD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2014 年-2016 年连续三年捐助捐赠总额最高者为满分 10分，其余对象计分按本企业捐助捐赠总额与最高企业捐助捐赠总额对应比例计分。</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计算公式为：</w:t>
      </w:r>
      <w:r w:rsidR="00E36BDB" w:rsidRPr="00E36BDB">
        <w:rPr>
          <w:rFonts w:asciiTheme="minorEastAsia" w:eastAsiaTheme="minorEastAsia" w:hAnsiTheme="minorEastAsia" w:hint="eastAsia"/>
          <w:sz w:val="30"/>
          <w:szCs w:val="30"/>
        </w:rPr>
        <w:t xml:space="preserve"> </w:t>
      </w:r>
      <w:r w:rsidRPr="00E36BDB">
        <w:rPr>
          <w:rFonts w:asciiTheme="minorEastAsia" w:eastAsiaTheme="minorEastAsia" w:hAnsiTheme="minorEastAsia" w:hint="eastAsia"/>
          <w:sz w:val="30"/>
          <w:szCs w:val="30"/>
        </w:rPr>
        <w:t>本企业捐助捐赠得分</w:t>
      </w:r>
      <w:r w:rsidR="00E36BDB">
        <w:rPr>
          <w:rFonts w:asciiTheme="minorEastAsia" w:eastAsiaTheme="minorEastAsia" w:hAnsiTheme="minorEastAsia" w:hint="eastAsia"/>
          <w:sz w:val="30"/>
          <w:szCs w:val="30"/>
        </w:rPr>
        <w:t>=(</w:t>
      </w:r>
      <w:r w:rsidRPr="00E36BDB">
        <w:rPr>
          <w:rFonts w:asciiTheme="minorEastAsia" w:eastAsiaTheme="minorEastAsia" w:hAnsiTheme="minorEastAsia" w:hint="eastAsia"/>
          <w:sz w:val="30"/>
          <w:szCs w:val="30"/>
        </w:rPr>
        <w:t>本企业捐助、捐赠总额</w:t>
      </w:r>
      <w:r w:rsidR="00E36BDB">
        <w:rPr>
          <w:rFonts w:asciiTheme="minorEastAsia" w:eastAsiaTheme="minorEastAsia" w:hAnsiTheme="minorEastAsia" w:hint="eastAsia"/>
          <w:sz w:val="30"/>
          <w:szCs w:val="30"/>
        </w:rPr>
        <w:t>)/(</w:t>
      </w:r>
      <w:r w:rsidRPr="00E36BDB">
        <w:rPr>
          <w:rFonts w:asciiTheme="minorEastAsia" w:eastAsiaTheme="minorEastAsia" w:hAnsiTheme="minorEastAsia" w:hint="eastAsia"/>
          <w:sz w:val="30"/>
          <w:szCs w:val="30"/>
        </w:rPr>
        <w:t>最高捐助、捐赠总额</w:t>
      </w:r>
      <w:r w:rsidR="00E36BDB">
        <w:rPr>
          <w:rFonts w:asciiTheme="minorEastAsia" w:eastAsiaTheme="minorEastAsia" w:hAnsiTheme="minorEastAsia" w:hint="eastAsia"/>
          <w:sz w:val="30"/>
          <w:szCs w:val="30"/>
        </w:rPr>
        <w:t>)</w:t>
      </w:r>
      <w:r w:rsidRPr="00E36BDB">
        <w:rPr>
          <w:rFonts w:asciiTheme="minorEastAsia" w:eastAsiaTheme="minorEastAsia" w:hAnsiTheme="minorEastAsia" w:hint="eastAsia"/>
          <w:sz w:val="30"/>
          <w:szCs w:val="30"/>
        </w:rPr>
        <w:t xml:space="preserve">×10 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（三）综合评价（满分 20分） </w:t>
      </w:r>
    </w:p>
    <w:p w:rsidR="00F4758B" w:rsidRPr="00E36BDB" w:rsidRDefault="00F4758B" w:rsidP="00F4758B">
      <w:pPr>
        <w:rPr>
          <w:rFonts w:asciiTheme="minorEastAsia" w:eastAsiaTheme="minorEastAsia" w:hAnsiTheme="minorEastAsia" w:hint="eastAsia"/>
          <w:sz w:val="30"/>
          <w:szCs w:val="30"/>
        </w:rPr>
      </w:pPr>
      <w:r w:rsidRPr="00E36BDB">
        <w:rPr>
          <w:rFonts w:asciiTheme="minorEastAsia" w:eastAsiaTheme="minorEastAsia" w:hAnsiTheme="minorEastAsia" w:hint="eastAsia"/>
          <w:sz w:val="30"/>
          <w:szCs w:val="30"/>
        </w:rPr>
        <w:t xml:space="preserve">由市政府组织相关领导、部分党代表、人大代表、政协委员及相关专家、业内人士从政治素质、文化修养、社会影响力、社会公认度等方面对全部申报者进行综合评价，所得平均分即为申报者的社会评价得分。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Pr="00E36BDB" w:rsidRDefault="00F4758B" w:rsidP="00F4758B">
      <w:pPr>
        <w:rPr>
          <w:rFonts w:asciiTheme="minorEastAsia" w:eastAsiaTheme="minorEastAsia" w:hAnsiTheme="minorEastAsia"/>
          <w:sz w:val="30"/>
          <w:szCs w:val="30"/>
        </w:rPr>
      </w:pPr>
      <w:r w:rsidRPr="00E36BDB">
        <w:rPr>
          <w:rFonts w:asciiTheme="minorEastAsia" w:eastAsiaTheme="minorEastAsia" w:hAnsiTheme="minorEastAsia"/>
          <w:sz w:val="30"/>
          <w:szCs w:val="30"/>
        </w:rPr>
        <w:t xml:space="preserve"> </w:t>
      </w:r>
    </w:p>
    <w:p w:rsidR="00F4758B" w:rsidRDefault="00F4758B" w:rsidP="00F4758B">
      <w:r>
        <w:t xml:space="preserve"> </w:t>
      </w:r>
    </w:p>
    <w:p w:rsidR="00F4758B" w:rsidRDefault="00F4758B" w:rsidP="00F4758B">
      <w:r>
        <w:t xml:space="preserve"> </w:t>
      </w:r>
    </w:p>
    <w:p w:rsidR="00F4758B" w:rsidRDefault="00F4758B" w:rsidP="00F4758B">
      <w:r>
        <w:t xml:space="preserve"> </w:t>
      </w:r>
    </w:p>
    <w:p w:rsidR="00F4758B" w:rsidRDefault="00F4758B" w:rsidP="00F4758B">
      <w:r>
        <w:t xml:space="preserve"> </w:t>
      </w:r>
    </w:p>
    <w:p w:rsidR="00F4758B" w:rsidRDefault="00F4758B" w:rsidP="00F4758B">
      <w:r>
        <w:t xml:space="preserve"> </w:t>
      </w:r>
    </w:p>
    <w:p w:rsidR="00F4758B" w:rsidRDefault="00F4758B" w:rsidP="00F4758B">
      <w:r>
        <w:t xml:space="preserve"> </w:t>
      </w:r>
    </w:p>
    <w:p w:rsidR="00F4758B" w:rsidRPr="00F4758B" w:rsidRDefault="00F4758B" w:rsidP="00F4758B"/>
    <w:sectPr w:rsidR="00F4758B" w:rsidRPr="00F4758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86F05"/>
    <w:rsid w:val="00D31D50"/>
    <w:rsid w:val="00E36BDB"/>
    <w:rsid w:val="00F47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iPriority w:val="9"/>
    <w:unhideWhenUsed/>
    <w:qFormat/>
    <w:rsid w:val="00F475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4758B"/>
    <w:pPr>
      <w:spacing w:after="0"/>
    </w:pPr>
    <w:rPr>
      <w:sz w:val="18"/>
      <w:szCs w:val="18"/>
    </w:rPr>
  </w:style>
  <w:style w:type="character" w:customStyle="1" w:styleId="Char">
    <w:name w:val="批注框文本 Char"/>
    <w:basedOn w:val="a0"/>
    <w:link w:val="a3"/>
    <w:uiPriority w:val="99"/>
    <w:semiHidden/>
    <w:rsid w:val="00F4758B"/>
    <w:rPr>
      <w:rFonts w:ascii="Tahoma" w:hAnsi="Tahoma"/>
      <w:sz w:val="18"/>
      <w:szCs w:val="18"/>
    </w:rPr>
  </w:style>
  <w:style w:type="character" w:customStyle="1" w:styleId="2Char">
    <w:name w:val="标题 2 Char"/>
    <w:basedOn w:val="a0"/>
    <w:link w:val="2"/>
    <w:uiPriority w:val="9"/>
    <w:rsid w:val="00F4758B"/>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673992885">
      <w:bodyDiv w:val="1"/>
      <w:marLeft w:val="0"/>
      <w:marRight w:val="0"/>
      <w:marTop w:val="0"/>
      <w:marBottom w:val="0"/>
      <w:divBdr>
        <w:top w:val="none" w:sz="0" w:space="0" w:color="auto"/>
        <w:left w:val="none" w:sz="0" w:space="0" w:color="auto"/>
        <w:bottom w:val="none" w:sz="0" w:space="0" w:color="auto"/>
        <w:right w:val="none" w:sz="0" w:space="0" w:color="auto"/>
      </w:divBdr>
    </w:div>
    <w:div w:id="807356946">
      <w:bodyDiv w:val="1"/>
      <w:marLeft w:val="0"/>
      <w:marRight w:val="0"/>
      <w:marTop w:val="0"/>
      <w:marBottom w:val="0"/>
      <w:divBdr>
        <w:top w:val="none" w:sz="0" w:space="0" w:color="auto"/>
        <w:left w:val="none" w:sz="0" w:space="0" w:color="auto"/>
        <w:bottom w:val="none" w:sz="0" w:space="0" w:color="auto"/>
        <w:right w:val="none" w:sz="0" w:space="0" w:color="auto"/>
      </w:divBdr>
    </w:div>
    <w:div w:id="885487847">
      <w:bodyDiv w:val="1"/>
      <w:marLeft w:val="0"/>
      <w:marRight w:val="0"/>
      <w:marTop w:val="0"/>
      <w:marBottom w:val="0"/>
      <w:divBdr>
        <w:top w:val="none" w:sz="0" w:space="0" w:color="auto"/>
        <w:left w:val="none" w:sz="0" w:space="0" w:color="auto"/>
        <w:bottom w:val="none" w:sz="0" w:space="0" w:color="auto"/>
        <w:right w:val="none" w:sz="0" w:space="0" w:color="auto"/>
      </w:divBdr>
    </w:div>
    <w:div w:id="899631673">
      <w:bodyDiv w:val="1"/>
      <w:marLeft w:val="0"/>
      <w:marRight w:val="0"/>
      <w:marTop w:val="0"/>
      <w:marBottom w:val="0"/>
      <w:divBdr>
        <w:top w:val="none" w:sz="0" w:space="0" w:color="auto"/>
        <w:left w:val="none" w:sz="0" w:space="0" w:color="auto"/>
        <w:bottom w:val="none" w:sz="0" w:space="0" w:color="auto"/>
        <w:right w:val="none" w:sz="0" w:space="0" w:color="auto"/>
      </w:divBdr>
    </w:div>
    <w:div w:id="1006009271">
      <w:bodyDiv w:val="1"/>
      <w:marLeft w:val="0"/>
      <w:marRight w:val="0"/>
      <w:marTop w:val="0"/>
      <w:marBottom w:val="0"/>
      <w:divBdr>
        <w:top w:val="none" w:sz="0" w:space="0" w:color="auto"/>
        <w:left w:val="none" w:sz="0" w:space="0" w:color="auto"/>
        <w:bottom w:val="none" w:sz="0" w:space="0" w:color="auto"/>
        <w:right w:val="none" w:sz="0" w:space="0" w:color="auto"/>
      </w:divBdr>
    </w:div>
    <w:div w:id="1179856563">
      <w:bodyDiv w:val="1"/>
      <w:marLeft w:val="0"/>
      <w:marRight w:val="0"/>
      <w:marTop w:val="0"/>
      <w:marBottom w:val="0"/>
      <w:divBdr>
        <w:top w:val="none" w:sz="0" w:space="0" w:color="auto"/>
        <w:left w:val="none" w:sz="0" w:space="0" w:color="auto"/>
        <w:bottom w:val="none" w:sz="0" w:space="0" w:color="auto"/>
        <w:right w:val="none" w:sz="0" w:space="0" w:color="auto"/>
      </w:divBdr>
    </w:div>
    <w:div w:id="1363751787">
      <w:bodyDiv w:val="1"/>
      <w:marLeft w:val="0"/>
      <w:marRight w:val="0"/>
      <w:marTop w:val="0"/>
      <w:marBottom w:val="0"/>
      <w:divBdr>
        <w:top w:val="none" w:sz="0" w:space="0" w:color="auto"/>
        <w:left w:val="none" w:sz="0" w:space="0" w:color="auto"/>
        <w:bottom w:val="none" w:sz="0" w:space="0" w:color="auto"/>
        <w:right w:val="none" w:sz="0" w:space="0" w:color="auto"/>
      </w:divBdr>
    </w:div>
    <w:div w:id="1729112220">
      <w:bodyDiv w:val="1"/>
      <w:marLeft w:val="0"/>
      <w:marRight w:val="0"/>
      <w:marTop w:val="0"/>
      <w:marBottom w:val="0"/>
      <w:divBdr>
        <w:top w:val="none" w:sz="0" w:space="0" w:color="auto"/>
        <w:left w:val="none" w:sz="0" w:space="0" w:color="auto"/>
        <w:bottom w:val="none" w:sz="0" w:space="0" w:color="auto"/>
        <w:right w:val="none" w:sz="0" w:space="0" w:color="auto"/>
      </w:divBdr>
    </w:div>
    <w:div w:id="1731266638">
      <w:bodyDiv w:val="1"/>
      <w:marLeft w:val="0"/>
      <w:marRight w:val="0"/>
      <w:marTop w:val="0"/>
      <w:marBottom w:val="0"/>
      <w:divBdr>
        <w:top w:val="none" w:sz="0" w:space="0" w:color="auto"/>
        <w:left w:val="none" w:sz="0" w:space="0" w:color="auto"/>
        <w:bottom w:val="none" w:sz="0" w:space="0" w:color="auto"/>
        <w:right w:val="none" w:sz="0" w:space="0" w:color="auto"/>
      </w:divBdr>
    </w:div>
    <w:div w:id="1808814450">
      <w:bodyDiv w:val="1"/>
      <w:marLeft w:val="0"/>
      <w:marRight w:val="0"/>
      <w:marTop w:val="0"/>
      <w:marBottom w:val="0"/>
      <w:divBdr>
        <w:top w:val="none" w:sz="0" w:space="0" w:color="auto"/>
        <w:left w:val="none" w:sz="0" w:space="0" w:color="auto"/>
        <w:bottom w:val="none" w:sz="0" w:space="0" w:color="auto"/>
        <w:right w:val="none" w:sz="0" w:space="0" w:color="auto"/>
      </w:divBdr>
    </w:div>
    <w:div w:id="1903902431">
      <w:bodyDiv w:val="1"/>
      <w:marLeft w:val="0"/>
      <w:marRight w:val="0"/>
      <w:marTop w:val="0"/>
      <w:marBottom w:val="0"/>
      <w:divBdr>
        <w:top w:val="none" w:sz="0" w:space="0" w:color="auto"/>
        <w:left w:val="none" w:sz="0" w:space="0" w:color="auto"/>
        <w:bottom w:val="none" w:sz="0" w:space="0" w:color="auto"/>
        <w:right w:val="none" w:sz="0" w:space="0" w:color="auto"/>
      </w:divBdr>
    </w:div>
    <w:div w:id="210082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2018-01-31T03:53:00Z</dcterms:created>
  <dcterms:modified xsi:type="dcterms:W3CDTF">2018-01-31T03:53:00Z</dcterms:modified>
</cp:coreProperties>
</file>