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FF" w:rsidRDefault="00C56961">
      <w:pPr>
        <w:jc w:val="center"/>
        <w:rPr>
          <w:rFonts w:ascii="方正小标宋_GBK" w:eastAsia="方正小标宋_GBK"/>
          <w:sz w:val="44"/>
          <w:szCs w:val="44"/>
        </w:rPr>
      </w:pPr>
      <w:r>
        <w:rPr>
          <w:rFonts w:ascii="方正小标宋_GBK" w:eastAsia="方正小标宋_GBK" w:hint="eastAsia"/>
          <w:sz w:val="44"/>
          <w:szCs w:val="44"/>
        </w:rPr>
        <w:t>庆元县扶贫民生领域不正之风和侵害群众利益问题集中整治项目表</w:t>
      </w:r>
    </w:p>
    <w:tbl>
      <w:tblPr>
        <w:tblW w:w="140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701"/>
        <w:gridCol w:w="1559"/>
        <w:gridCol w:w="8222"/>
        <w:gridCol w:w="1656"/>
      </w:tblGrid>
      <w:tr w:rsidR="007266FF">
        <w:trPr>
          <w:trHeight w:val="620"/>
        </w:trPr>
        <w:tc>
          <w:tcPr>
            <w:tcW w:w="868" w:type="dxa"/>
          </w:tcPr>
          <w:p w:rsidR="007266FF" w:rsidRDefault="00C56961">
            <w:pPr>
              <w:jc w:val="center"/>
              <w:rPr>
                <w:rFonts w:ascii="黑体" w:eastAsia="黑体"/>
                <w:sz w:val="32"/>
                <w:szCs w:val="32"/>
              </w:rPr>
            </w:pPr>
            <w:r>
              <w:rPr>
                <w:rFonts w:ascii="黑体" w:eastAsia="黑体" w:hint="eastAsia"/>
                <w:sz w:val="32"/>
                <w:szCs w:val="32"/>
              </w:rPr>
              <w:t>序号</w:t>
            </w:r>
          </w:p>
        </w:tc>
        <w:tc>
          <w:tcPr>
            <w:tcW w:w="1701" w:type="dxa"/>
          </w:tcPr>
          <w:p w:rsidR="007266FF" w:rsidRDefault="00C56961">
            <w:pPr>
              <w:jc w:val="center"/>
              <w:rPr>
                <w:rFonts w:ascii="黑体" w:eastAsia="黑体"/>
                <w:sz w:val="32"/>
                <w:szCs w:val="32"/>
              </w:rPr>
            </w:pPr>
            <w:r>
              <w:rPr>
                <w:rFonts w:ascii="黑体" w:eastAsia="黑体" w:hint="eastAsia"/>
                <w:sz w:val="32"/>
                <w:szCs w:val="32"/>
              </w:rPr>
              <w:t>牵头单位</w:t>
            </w:r>
          </w:p>
        </w:tc>
        <w:tc>
          <w:tcPr>
            <w:tcW w:w="1559" w:type="dxa"/>
          </w:tcPr>
          <w:p w:rsidR="007266FF" w:rsidRDefault="00C56961">
            <w:pPr>
              <w:jc w:val="center"/>
              <w:rPr>
                <w:rFonts w:ascii="黑体" w:eastAsia="黑体"/>
                <w:sz w:val="32"/>
                <w:szCs w:val="32"/>
              </w:rPr>
            </w:pPr>
            <w:r>
              <w:rPr>
                <w:rFonts w:ascii="黑体" w:eastAsia="黑体" w:hint="eastAsia"/>
                <w:sz w:val="32"/>
                <w:szCs w:val="32"/>
              </w:rPr>
              <w:t>整治项目</w:t>
            </w:r>
          </w:p>
        </w:tc>
        <w:tc>
          <w:tcPr>
            <w:tcW w:w="8222" w:type="dxa"/>
          </w:tcPr>
          <w:p w:rsidR="007266FF" w:rsidRDefault="00C56961">
            <w:pPr>
              <w:jc w:val="center"/>
              <w:rPr>
                <w:rFonts w:ascii="黑体" w:eastAsia="黑体"/>
                <w:sz w:val="32"/>
                <w:szCs w:val="32"/>
              </w:rPr>
            </w:pPr>
            <w:r>
              <w:rPr>
                <w:rFonts w:ascii="黑体" w:eastAsia="黑体" w:hint="eastAsia"/>
                <w:sz w:val="32"/>
                <w:szCs w:val="32"/>
              </w:rPr>
              <w:t>工作举措</w:t>
            </w:r>
          </w:p>
        </w:tc>
        <w:tc>
          <w:tcPr>
            <w:tcW w:w="1656" w:type="dxa"/>
          </w:tcPr>
          <w:p w:rsidR="007266FF" w:rsidRDefault="00C56961">
            <w:pPr>
              <w:jc w:val="center"/>
              <w:rPr>
                <w:rFonts w:ascii="黑体" w:eastAsia="黑体"/>
                <w:sz w:val="32"/>
                <w:szCs w:val="32"/>
              </w:rPr>
            </w:pPr>
            <w:r>
              <w:rPr>
                <w:rFonts w:ascii="黑体" w:eastAsia="黑体" w:hint="eastAsia"/>
                <w:sz w:val="32"/>
                <w:szCs w:val="32"/>
              </w:rPr>
              <w:t>投诉电话</w:t>
            </w:r>
          </w:p>
        </w:tc>
      </w:tr>
      <w:tr w:rsidR="00A456EC" w:rsidTr="00310D55">
        <w:trPr>
          <w:trHeight w:val="3237"/>
        </w:trPr>
        <w:tc>
          <w:tcPr>
            <w:tcW w:w="868" w:type="dxa"/>
            <w:vAlign w:val="center"/>
          </w:tcPr>
          <w:p w:rsidR="00A456EC" w:rsidRDefault="00A456EC" w:rsidP="00981415">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1</w:t>
            </w:r>
          </w:p>
        </w:tc>
        <w:tc>
          <w:tcPr>
            <w:tcW w:w="1701" w:type="dxa"/>
            <w:vAlign w:val="center"/>
          </w:tcPr>
          <w:p w:rsidR="00A456EC" w:rsidRDefault="00A456EC" w:rsidP="00981415">
            <w:pPr>
              <w:adjustRightInd w:val="0"/>
              <w:snapToGrid w:val="0"/>
              <w:spacing w:line="320" w:lineRule="exact"/>
              <w:rPr>
                <w:sz w:val="24"/>
              </w:rPr>
            </w:pPr>
            <w:r>
              <w:rPr>
                <w:rFonts w:hint="eastAsia"/>
                <w:sz w:val="24"/>
              </w:rPr>
              <w:t>县发展和改革局</w:t>
            </w:r>
          </w:p>
        </w:tc>
        <w:tc>
          <w:tcPr>
            <w:tcW w:w="1559"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综合供能服务站建设攻坚行动</w:t>
            </w:r>
          </w:p>
        </w:tc>
        <w:tc>
          <w:tcPr>
            <w:tcW w:w="8222"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1.查找问题，对症下药。针对项目推进过程中的前期审批、施工进度等情况，开展项目推进难点摸底排查，形成问题清单，研究解决措施，限时进行销号。</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2.明确责任，倒排时序。按三季度完成政策处理、12月底项目完工投产的目标倒排工作计划，并进一步细化相关部门、乡镇（街道）责任分工。</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3.统筹协调，狠抓落实。建立项目建设协调推进机制，保障项目顺利施工。并积极探索土地政策、站点规划管理和项目前期容缺审批可行路径，着力突破体制机制障碍。</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4.强化督查，确保实效。结合站点建设进度安排，联合有关部门开展专项督查及不定期开展抽查工作，全方位推进项目建设。</w:t>
            </w:r>
          </w:p>
        </w:tc>
        <w:tc>
          <w:tcPr>
            <w:tcW w:w="1656" w:type="dxa"/>
            <w:vAlign w:val="center"/>
          </w:tcPr>
          <w:p w:rsidR="00A456EC" w:rsidRDefault="00A456EC" w:rsidP="00981415">
            <w:pPr>
              <w:adjustRightInd w:val="0"/>
              <w:snapToGrid w:val="0"/>
              <w:spacing w:line="320" w:lineRule="exact"/>
              <w:rPr>
                <w:rFonts w:ascii="宋体" w:hAnsi="宋体" w:cs="Times New Roman"/>
                <w:sz w:val="24"/>
              </w:rPr>
            </w:pPr>
            <w:r>
              <w:rPr>
                <w:rFonts w:ascii="宋体" w:hAnsi="宋体" w:cs="Times New Roman"/>
                <w:sz w:val="24"/>
              </w:rPr>
              <w:t>0578-6058843</w:t>
            </w:r>
          </w:p>
        </w:tc>
      </w:tr>
      <w:tr w:rsidR="00A456EC" w:rsidTr="001E528E">
        <w:trPr>
          <w:trHeight w:val="620"/>
        </w:trPr>
        <w:tc>
          <w:tcPr>
            <w:tcW w:w="868" w:type="dxa"/>
            <w:vAlign w:val="center"/>
          </w:tcPr>
          <w:p w:rsidR="00A456EC" w:rsidRPr="0017328D" w:rsidRDefault="00A456EC" w:rsidP="00981415">
            <w:pPr>
              <w:adjustRightInd w:val="0"/>
              <w:snapToGrid w:val="0"/>
              <w:spacing w:line="32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1701" w:type="dxa"/>
            <w:vAlign w:val="center"/>
          </w:tcPr>
          <w:p w:rsidR="00A456EC" w:rsidRPr="0017328D" w:rsidRDefault="00A456EC" w:rsidP="00981415">
            <w:pPr>
              <w:adjustRightInd w:val="0"/>
              <w:snapToGrid w:val="0"/>
              <w:spacing w:line="320" w:lineRule="exact"/>
              <w:rPr>
                <w:rFonts w:ascii="Times New Roman" w:hAnsi="Times New Roman" w:cs="Times New Roman"/>
                <w:color w:val="000000" w:themeColor="text1"/>
                <w:kern w:val="0"/>
                <w:sz w:val="24"/>
                <w:szCs w:val="24"/>
              </w:rPr>
            </w:pPr>
            <w:r w:rsidRPr="0017328D">
              <w:rPr>
                <w:rFonts w:ascii="Times New Roman" w:hAnsi="Times New Roman" w:cs="Times New Roman" w:hint="eastAsia"/>
                <w:color w:val="000000" w:themeColor="text1"/>
                <w:kern w:val="0"/>
                <w:sz w:val="24"/>
                <w:szCs w:val="24"/>
              </w:rPr>
              <w:t>县教育局</w:t>
            </w:r>
          </w:p>
        </w:tc>
        <w:tc>
          <w:tcPr>
            <w:tcW w:w="1559" w:type="dxa"/>
            <w:vAlign w:val="center"/>
          </w:tcPr>
          <w:p w:rsidR="00A456EC" w:rsidRPr="0017328D" w:rsidRDefault="00A456EC" w:rsidP="00981415">
            <w:pPr>
              <w:adjustRightInd w:val="0"/>
              <w:snapToGrid w:val="0"/>
              <w:spacing w:line="320" w:lineRule="exact"/>
              <w:rPr>
                <w:rFonts w:ascii="Times New Roman" w:hAnsi="Times New Roman" w:cs="Times New Roman"/>
                <w:color w:val="000000" w:themeColor="text1"/>
                <w:kern w:val="0"/>
                <w:sz w:val="24"/>
                <w:szCs w:val="24"/>
              </w:rPr>
            </w:pPr>
            <w:r w:rsidRPr="0017328D">
              <w:rPr>
                <w:rFonts w:ascii="Times New Roman" w:hAnsi="Times New Roman" w:cs="Times New Roman" w:hint="eastAsia"/>
                <w:color w:val="000000" w:themeColor="text1"/>
                <w:kern w:val="0"/>
                <w:sz w:val="24"/>
                <w:szCs w:val="24"/>
              </w:rPr>
              <w:t>学生资助政策落实不力问题集中整治</w:t>
            </w:r>
          </w:p>
        </w:tc>
        <w:tc>
          <w:tcPr>
            <w:tcW w:w="8222" w:type="dxa"/>
            <w:vAlign w:val="center"/>
          </w:tcPr>
          <w:p w:rsidR="00A456EC" w:rsidRPr="0017328D" w:rsidRDefault="00A456EC" w:rsidP="00981415">
            <w:pPr>
              <w:adjustRightInd w:val="0"/>
              <w:snapToGrid w:val="0"/>
              <w:spacing w:line="320" w:lineRule="exact"/>
              <w:rPr>
                <w:rFonts w:ascii="宋体" w:hAnsi="宋体" w:cs="Times New Roman"/>
                <w:color w:val="000000" w:themeColor="text1"/>
                <w:kern w:val="0"/>
                <w:sz w:val="24"/>
                <w:szCs w:val="24"/>
              </w:rPr>
            </w:pPr>
            <w:r w:rsidRPr="0017328D">
              <w:rPr>
                <w:rFonts w:ascii="宋体" w:hAnsi="宋体" w:cs="Times New Roman"/>
                <w:color w:val="000000" w:themeColor="text1"/>
                <w:kern w:val="0"/>
                <w:sz w:val="24"/>
                <w:szCs w:val="24"/>
              </w:rPr>
              <w:t>1</w:t>
            </w:r>
            <w:r w:rsidRPr="0017328D">
              <w:rPr>
                <w:rFonts w:ascii="宋体" w:hAnsi="宋体" w:cs="Times New Roman" w:hint="eastAsia"/>
                <w:color w:val="000000" w:themeColor="text1"/>
                <w:kern w:val="0"/>
                <w:sz w:val="24"/>
                <w:szCs w:val="24"/>
              </w:rPr>
              <w:t>.完善人员信息管理系统，定期更新低保低边家庭学生和困境儿童、残疾学生等人员数据。</w:t>
            </w:r>
          </w:p>
          <w:p w:rsidR="00A456EC" w:rsidRPr="0017328D" w:rsidRDefault="00A456EC" w:rsidP="00981415">
            <w:pPr>
              <w:adjustRightInd w:val="0"/>
              <w:snapToGrid w:val="0"/>
              <w:spacing w:line="320" w:lineRule="exact"/>
              <w:rPr>
                <w:rFonts w:ascii="宋体" w:hAnsi="宋体" w:cs="Times New Roman"/>
                <w:color w:val="000000" w:themeColor="text1"/>
                <w:kern w:val="0"/>
                <w:sz w:val="24"/>
                <w:szCs w:val="24"/>
              </w:rPr>
            </w:pPr>
            <w:r w:rsidRPr="0017328D">
              <w:rPr>
                <w:rFonts w:ascii="宋体" w:hAnsi="宋体" w:cs="Times New Roman"/>
                <w:color w:val="000000" w:themeColor="text1"/>
                <w:kern w:val="0"/>
                <w:sz w:val="24"/>
                <w:szCs w:val="24"/>
              </w:rPr>
              <w:t>2</w:t>
            </w:r>
            <w:r w:rsidRPr="0017328D">
              <w:rPr>
                <w:rFonts w:ascii="宋体" w:hAnsi="宋体" w:cs="Times New Roman" w:hint="eastAsia"/>
                <w:color w:val="000000" w:themeColor="text1"/>
                <w:kern w:val="0"/>
                <w:sz w:val="24"/>
                <w:szCs w:val="24"/>
              </w:rPr>
              <w:t>.完善《申请表》项目，增加父母是否公职人员、是否有私家车、学生本人或监护人诚信承诺等内容。</w:t>
            </w:r>
          </w:p>
          <w:p w:rsidR="00A456EC" w:rsidRPr="0017328D" w:rsidRDefault="00A456EC" w:rsidP="00981415">
            <w:pPr>
              <w:adjustRightInd w:val="0"/>
              <w:snapToGrid w:val="0"/>
              <w:spacing w:line="320" w:lineRule="exact"/>
              <w:rPr>
                <w:rFonts w:ascii="宋体" w:hAnsi="宋体"/>
                <w:color w:val="000000" w:themeColor="text1"/>
                <w:sz w:val="32"/>
                <w:szCs w:val="32"/>
              </w:rPr>
            </w:pPr>
            <w:r w:rsidRPr="0017328D">
              <w:rPr>
                <w:rFonts w:ascii="宋体" w:hAnsi="宋体" w:cs="Times New Roman"/>
                <w:color w:val="000000" w:themeColor="text1"/>
                <w:kern w:val="0"/>
                <w:sz w:val="24"/>
                <w:szCs w:val="24"/>
              </w:rPr>
              <w:t>3</w:t>
            </w:r>
            <w:r w:rsidRPr="0017328D">
              <w:rPr>
                <w:rFonts w:ascii="宋体" w:hAnsi="宋体" w:cs="Times New Roman" w:hint="eastAsia"/>
                <w:color w:val="000000" w:themeColor="text1"/>
                <w:kern w:val="0"/>
                <w:sz w:val="24"/>
                <w:szCs w:val="24"/>
              </w:rPr>
              <w:t>.健全完善学生资助政策审核把关制度，落实班级、学校、资助中心层层审核把关工作机制。</w:t>
            </w:r>
          </w:p>
        </w:tc>
        <w:tc>
          <w:tcPr>
            <w:tcW w:w="1656" w:type="dxa"/>
            <w:vAlign w:val="center"/>
          </w:tcPr>
          <w:p w:rsidR="00A456EC" w:rsidRPr="0017328D" w:rsidRDefault="00A456EC" w:rsidP="00981415">
            <w:pPr>
              <w:adjustRightInd w:val="0"/>
              <w:snapToGrid w:val="0"/>
              <w:spacing w:line="360" w:lineRule="exact"/>
              <w:rPr>
                <w:rFonts w:ascii="宋体" w:hAnsi="宋体" w:cs="Times New Roman"/>
                <w:color w:val="000000" w:themeColor="text1"/>
                <w:kern w:val="0"/>
                <w:sz w:val="24"/>
                <w:szCs w:val="24"/>
              </w:rPr>
            </w:pPr>
            <w:r w:rsidRPr="0017328D">
              <w:rPr>
                <w:rFonts w:ascii="宋体" w:hAnsi="宋体" w:cs="Times New Roman" w:hint="eastAsia"/>
                <w:color w:val="000000" w:themeColor="text1"/>
                <w:kern w:val="0"/>
                <w:sz w:val="24"/>
                <w:szCs w:val="24"/>
              </w:rPr>
              <w:t>0578-6122346</w:t>
            </w:r>
          </w:p>
        </w:tc>
      </w:tr>
      <w:tr w:rsidR="00A456EC">
        <w:trPr>
          <w:trHeight w:val="2108"/>
        </w:trPr>
        <w:tc>
          <w:tcPr>
            <w:tcW w:w="868" w:type="dxa"/>
            <w:vAlign w:val="center"/>
          </w:tcPr>
          <w:p w:rsidR="00A456EC" w:rsidRDefault="00A456EC" w:rsidP="00981415">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lastRenderedPageBreak/>
              <w:t>3</w:t>
            </w:r>
          </w:p>
        </w:tc>
        <w:tc>
          <w:tcPr>
            <w:tcW w:w="1701" w:type="dxa"/>
            <w:vAlign w:val="center"/>
          </w:tcPr>
          <w:p w:rsidR="00A456EC" w:rsidRDefault="00A456EC" w:rsidP="00981415">
            <w:pPr>
              <w:adjustRightInd w:val="0"/>
              <w:snapToGrid w:val="0"/>
              <w:spacing w:line="320" w:lineRule="exact"/>
              <w:rPr>
                <w:sz w:val="24"/>
              </w:rPr>
            </w:pPr>
            <w:r>
              <w:rPr>
                <w:rFonts w:hint="eastAsia"/>
                <w:sz w:val="24"/>
              </w:rPr>
              <w:t>县公安局</w:t>
            </w:r>
          </w:p>
        </w:tc>
        <w:tc>
          <w:tcPr>
            <w:tcW w:w="1559" w:type="dxa"/>
            <w:vAlign w:val="center"/>
          </w:tcPr>
          <w:p w:rsidR="00A456EC" w:rsidRDefault="00A456EC" w:rsidP="00981415">
            <w:pPr>
              <w:snapToGrid w:val="0"/>
              <w:spacing w:line="300" w:lineRule="exact"/>
              <w:rPr>
                <w:sz w:val="24"/>
              </w:rPr>
            </w:pPr>
            <w:r>
              <w:rPr>
                <w:rFonts w:cs="Times New Roman" w:hint="eastAsia"/>
                <w:sz w:val="24"/>
              </w:rPr>
              <w:t>打击整治食药环领域违法犯罪专项行动</w:t>
            </w:r>
          </w:p>
        </w:tc>
        <w:tc>
          <w:tcPr>
            <w:tcW w:w="8222" w:type="dxa"/>
            <w:vAlign w:val="center"/>
          </w:tcPr>
          <w:p w:rsidR="00A456EC" w:rsidRDefault="00A456EC" w:rsidP="00981415">
            <w:pPr>
              <w:snapToGrid w:val="0"/>
              <w:spacing w:line="300" w:lineRule="exact"/>
              <w:rPr>
                <w:sz w:val="24"/>
              </w:rPr>
            </w:pPr>
            <w:r>
              <w:rPr>
                <w:rFonts w:cs="Times New Roman" w:hint="eastAsia"/>
                <w:sz w:val="24"/>
              </w:rPr>
              <w:t>坚持“打源头、端窝点、摧网络、断链条、追流向”，向食品、药品安全，环境污染，制假贩假领域违法犯罪活动发起凌厉攻势，全面排摸线索，强力破案攻坚，依法严惩一批犯罪分子，确保老百姓健康安全。</w:t>
            </w:r>
          </w:p>
        </w:tc>
        <w:tc>
          <w:tcPr>
            <w:tcW w:w="1656" w:type="dxa"/>
            <w:vAlign w:val="center"/>
          </w:tcPr>
          <w:p w:rsidR="00A456EC" w:rsidRDefault="00A456EC" w:rsidP="00981415">
            <w:pPr>
              <w:adjustRightInd w:val="0"/>
              <w:snapToGrid w:val="0"/>
              <w:spacing w:line="320" w:lineRule="exact"/>
              <w:rPr>
                <w:rFonts w:ascii="宋体" w:hAnsi="宋体" w:cs="Times New Roman"/>
                <w:sz w:val="24"/>
              </w:rPr>
            </w:pPr>
            <w:r>
              <w:rPr>
                <w:rFonts w:ascii="宋体" w:hAnsi="宋体" w:cs="Times New Roman" w:hint="eastAsia"/>
                <w:sz w:val="24"/>
              </w:rPr>
              <w:t>110</w:t>
            </w:r>
          </w:p>
        </w:tc>
      </w:tr>
      <w:tr w:rsidR="00A456EC" w:rsidTr="00A456EC">
        <w:trPr>
          <w:trHeight w:val="3115"/>
        </w:trPr>
        <w:tc>
          <w:tcPr>
            <w:tcW w:w="868" w:type="dxa"/>
            <w:vAlign w:val="center"/>
          </w:tcPr>
          <w:p w:rsidR="00A456EC" w:rsidRDefault="00A456EC" w:rsidP="00981415">
            <w:pPr>
              <w:adjustRightInd w:val="0"/>
              <w:snapToGrid w:val="0"/>
              <w:spacing w:line="320" w:lineRule="exact"/>
              <w:jc w:val="center"/>
              <w:rPr>
                <w:rFonts w:ascii="宋体" w:hAnsi="宋体" w:cs="Times New Roman"/>
                <w:kern w:val="0"/>
                <w:sz w:val="24"/>
                <w:szCs w:val="24"/>
              </w:rPr>
            </w:pPr>
            <w:r>
              <w:rPr>
                <w:rFonts w:ascii="宋体" w:hAnsi="宋体" w:cs="Times New Roman" w:hint="eastAsia"/>
                <w:kern w:val="0"/>
                <w:sz w:val="24"/>
                <w:szCs w:val="24"/>
              </w:rPr>
              <w:t>4</w:t>
            </w:r>
          </w:p>
        </w:tc>
        <w:tc>
          <w:tcPr>
            <w:tcW w:w="1701"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县民政局</w:t>
            </w:r>
          </w:p>
        </w:tc>
        <w:tc>
          <w:tcPr>
            <w:tcW w:w="1559"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低保专项治理</w:t>
            </w:r>
          </w:p>
        </w:tc>
        <w:tc>
          <w:tcPr>
            <w:tcW w:w="8222"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1.规范社会救助家庭供养费核算办法，出台《庆元县社会救助家庭供养费核算办法（试行）》。</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2.开展业务培训和政策宣传，编印《社会救助政策汇编》、宣传手册等资料，按层层负责的原则开展业务培训和政策宣传。</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3.开展低保低边对象年度核查，对在册对象和申请对象全面开展入户调查和家庭经济状况核查。</w:t>
            </w:r>
          </w:p>
          <w:p w:rsidR="00A456EC" w:rsidRDefault="00A456EC" w:rsidP="00981415">
            <w:pPr>
              <w:adjustRightInd w:val="0"/>
              <w:snapToGrid w:val="0"/>
              <w:spacing w:line="320" w:lineRule="exact"/>
              <w:rPr>
                <w:rFonts w:ascii="宋体" w:hAnsi="宋体" w:cs="Times New Roman"/>
                <w:color w:val="FF0000"/>
                <w:kern w:val="0"/>
                <w:sz w:val="24"/>
                <w:szCs w:val="24"/>
              </w:rPr>
            </w:pPr>
            <w:r>
              <w:rPr>
                <w:rFonts w:ascii="宋体" w:hAnsi="宋体" w:cs="Times New Roman" w:hint="eastAsia"/>
                <w:kern w:val="0"/>
                <w:sz w:val="24"/>
                <w:szCs w:val="24"/>
              </w:rPr>
              <w:t>4.规范低保认定工作制度，健全完善主动发现机制、近亲属备案制、审批结果公布告知等制度。</w:t>
            </w:r>
          </w:p>
        </w:tc>
        <w:tc>
          <w:tcPr>
            <w:tcW w:w="1656" w:type="dxa"/>
            <w:vAlign w:val="center"/>
          </w:tcPr>
          <w:p w:rsidR="00A456EC" w:rsidRDefault="00A456EC" w:rsidP="00981415">
            <w:pPr>
              <w:adjustRightInd w:val="0"/>
              <w:snapToGrid w:val="0"/>
              <w:spacing w:line="360" w:lineRule="exact"/>
              <w:rPr>
                <w:rFonts w:ascii="宋体" w:hAnsi="宋体" w:cs="Times New Roman"/>
                <w:kern w:val="0"/>
                <w:sz w:val="24"/>
                <w:szCs w:val="24"/>
              </w:rPr>
            </w:pPr>
            <w:r>
              <w:rPr>
                <w:rFonts w:ascii="宋体" w:hAnsi="宋体" w:cs="Times New Roman" w:hint="eastAsia"/>
                <w:kern w:val="0"/>
                <w:sz w:val="24"/>
                <w:szCs w:val="24"/>
              </w:rPr>
              <w:t>0578-</w:t>
            </w:r>
            <w:r>
              <w:rPr>
                <w:rFonts w:ascii="宋体" w:hAnsi="宋体" w:cs="Times New Roman"/>
                <w:kern w:val="0"/>
                <w:sz w:val="24"/>
                <w:szCs w:val="24"/>
              </w:rPr>
              <w:t>6121046</w:t>
            </w:r>
          </w:p>
        </w:tc>
      </w:tr>
      <w:tr w:rsidR="00A456EC" w:rsidTr="00A456EC">
        <w:trPr>
          <w:trHeight w:val="3398"/>
        </w:trPr>
        <w:tc>
          <w:tcPr>
            <w:tcW w:w="868" w:type="dxa"/>
            <w:vAlign w:val="center"/>
          </w:tcPr>
          <w:p w:rsidR="00A456EC" w:rsidRPr="00DC3DE8" w:rsidRDefault="00A456EC" w:rsidP="00981415">
            <w:pPr>
              <w:adjustRightInd w:val="0"/>
              <w:snapToGrid w:val="0"/>
              <w:spacing w:line="32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lastRenderedPageBreak/>
              <w:t>5</w:t>
            </w:r>
          </w:p>
        </w:tc>
        <w:tc>
          <w:tcPr>
            <w:tcW w:w="1701" w:type="dxa"/>
            <w:vAlign w:val="center"/>
          </w:tcPr>
          <w:p w:rsidR="00A456EC" w:rsidRPr="00DC3DE8" w:rsidRDefault="00A456EC" w:rsidP="00981415">
            <w:pPr>
              <w:adjustRightInd w:val="0"/>
              <w:snapToGrid w:val="0"/>
              <w:spacing w:line="300" w:lineRule="exact"/>
              <w:rPr>
                <w:color w:val="000000" w:themeColor="text1"/>
                <w:sz w:val="24"/>
              </w:rPr>
            </w:pPr>
            <w:r w:rsidRPr="00DC3DE8">
              <w:rPr>
                <w:rFonts w:hint="eastAsia"/>
                <w:color w:val="000000" w:themeColor="text1"/>
                <w:sz w:val="24"/>
              </w:rPr>
              <w:t>市生态环境局庆元分局</w:t>
            </w:r>
          </w:p>
        </w:tc>
        <w:tc>
          <w:tcPr>
            <w:tcW w:w="1559" w:type="dxa"/>
            <w:vAlign w:val="center"/>
          </w:tcPr>
          <w:p w:rsidR="00A456EC" w:rsidRPr="00DC3DE8" w:rsidRDefault="00A456EC" w:rsidP="00981415">
            <w:pPr>
              <w:adjustRightInd w:val="0"/>
              <w:snapToGrid w:val="0"/>
              <w:spacing w:line="300" w:lineRule="exact"/>
              <w:rPr>
                <w:color w:val="000000" w:themeColor="text1"/>
                <w:sz w:val="24"/>
              </w:rPr>
            </w:pPr>
            <w:r w:rsidRPr="00DC3DE8">
              <w:rPr>
                <w:rFonts w:hint="eastAsia"/>
                <w:color w:val="000000" w:themeColor="text1"/>
                <w:sz w:val="24"/>
              </w:rPr>
              <w:t>环境风险防范专项整治行动</w:t>
            </w:r>
          </w:p>
        </w:tc>
        <w:tc>
          <w:tcPr>
            <w:tcW w:w="8222" w:type="dxa"/>
            <w:vAlign w:val="center"/>
          </w:tcPr>
          <w:p w:rsidR="00A456EC" w:rsidRPr="00DC3DE8" w:rsidRDefault="00A456EC" w:rsidP="00981415">
            <w:pPr>
              <w:adjustRightInd w:val="0"/>
              <w:snapToGrid w:val="0"/>
              <w:spacing w:line="320" w:lineRule="exact"/>
              <w:rPr>
                <w:rFonts w:ascii="宋体" w:hAnsi="宋体" w:cs="Times New Roman"/>
                <w:color w:val="000000" w:themeColor="text1"/>
                <w:kern w:val="0"/>
                <w:sz w:val="24"/>
                <w:szCs w:val="24"/>
              </w:rPr>
            </w:pPr>
            <w:r w:rsidRPr="00DC3DE8">
              <w:rPr>
                <w:rFonts w:ascii="宋体" w:hAnsi="宋体" w:cs="Times New Roman"/>
                <w:color w:val="000000" w:themeColor="text1"/>
                <w:kern w:val="0"/>
                <w:sz w:val="24"/>
                <w:szCs w:val="24"/>
              </w:rPr>
              <w:t>1</w:t>
            </w:r>
            <w:r>
              <w:rPr>
                <w:rFonts w:ascii="宋体" w:hAnsi="宋体" w:cs="Times New Roman" w:hint="eastAsia"/>
                <w:color w:val="000000" w:themeColor="text1"/>
                <w:kern w:val="0"/>
                <w:sz w:val="24"/>
                <w:szCs w:val="24"/>
              </w:rPr>
              <w:t>.</w:t>
            </w:r>
            <w:r w:rsidRPr="00DC3DE8">
              <w:rPr>
                <w:rFonts w:ascii="宋体" w:hAnsi="宋体" w:cs="Times New Roman" w:hint="eastAsia"/>
                <w:color w:val="000000" w:themeColor="text1"/>
                <w:kern w:val="0"/>
                <w:sz w:val="24"/>
                <w:szCs w:val="24"/>
              </w:rPr>
              <w:t>组织开展突出生态环境问题排查防范化解重大环境风险行动，完成我县</w:t>
            </w:r>
            <w:r w:rsidRPr="00DC3DE8">
              <w:rPr>
                <w:rFonts w:ascii="宋体" w:hAnsi="宋体" w:cs="Times New Roman"/>
                <w:color w:val="000000" w:themeColor="text1"/>
                <w:kern w:val="0"/>
                <w:sz w:val="24"/>
                <w:szCs w:val="24"/>
              </w:rPr>
              <w:t>5</w:t>
            </w:r>
            <w:r w:rsidRPr="00DC3DE8">
              <w:rPr>
                <w:rFonts w:ascii="宋体" w:hAnsi="宋体" w:cs="Times New Roman" w:hint="eastAsia"/>
                <w:color w:val="000000" w:themeColor="text1"/>
                <w:kern w:val="0"/>
                <w:sz w:val="24"/>
                <w:szCs w:val="24"/>
              </w:rPr>
              <w:t>家重点排污单位的相应环境风险评估及突发环境事件应急预案编制、备案工作</w:t>
            </w:r>
            <w:r>
              <w:rPr>
                <w:rFonts w:ascii="宋体" w:hAnsi="宋体" w:cs="Times New Roman" w:hint="eastAsia"/>
                <w:color w:val="000000" w:themeColor="text1"/>
                <w:kern w:val="0"/>
                <w:sz w:val="24"/>
                <w:szCs w:val="24"/>
              </w:rPr>
              <w:t>。</w:t>
            </w:r>
          </w:p>
          <w:p w:rsidR="00A456EC" w:rsidRPr="00DC3DE8" w:rsidRDefault="00A456EC" w:rsidP="00981415">
            <w:pPr>
              <w:adjustRightInd w:val="0"/>
              <w:snapToGrid w:val="0"/>
              <w:spacing w:line="320" w:lineRule="exact"/>
              <w:rPr>
                <w:rFonts w:ascii="宋体" w:hAnsi="宋体" w:cs="Times New Roman"/>
                <w:color w:val="000000" w:themeColor="text1"/>
                <w:kern w:val="0"/>
                <w:sz w:val="24"/>
                <w:szCs w:val="24"/>
              </w:rPr>
            </w:pPr>
            <w:r w:rsidRPr="00DC3DE8">
              <w:rPr>
                <w:rFonts w:ascii="宋体" w:hAnsi="宋体" w:cs="Times New Roman"/>
                <w:color w:val="000000" w:themeColor="text1"/>
                <w:kern w:val="0"/>
                <w:sz w:val="24"/>
                <w:szCs w:val="24"/>
              </w:rPr>
              <w:t>2</w:t>
            </w:r>
            <w:r>
              <w:rPr>
                <w:rFonts w:ascii="宋体" w:hAnsi="宋体" w:cs="Times New Roman" w:hint="eastAsia"/>
                <w:color w:val="000000" w:themeColor="text1"/>
                <w:kern w:val="0"/>
                <w:sz w:val="24"/>
                <w:szCs w:val="24"/>
              </w:rPr>
              <w:t>.</w:t>
            </w:r>
            <w:r w:rsidRPr="00DC3DE8">
              <w:rPr>
                <w:rFonts w:ascii="宋体" w:hAnsi="宋体" w:cs="Times New Roman" w:hint="eastAsia"/>
                <w:color w:val="000000" w:themeColor="text1"/>
                <w:kern w:val="0"/>
                <w:sz w:val="24"/>
                <w:szCs w:val="24"/>
              </w:rPr>
              <w:t>建立问题清单和整治销号机制，明确任务分工、时间节点、责任单位和责任人等，确保问题查处到位，整改到位</w:t>
            </w:r>
            <w:r>
              <w:rPr>
                <w:rFonts w:ascii="宋体" w:hAnsi="宋体" w:cs="Times New Roman" w:hint="eastAsia"/>
                <w:color w:val="000000" w:themeColor="text1"/>
                <w:kern w:val="0"/>
                <w:sz w:val="24"/>
                <w:szCs w:val="24"/>
              </w:rPr>
              <w:t>。</w:t>
            </w:r>
          </w:p>
          <w:p w:rsidR="00A456EC" w:rsidRPr="00DC3DE8" w:rsidRDefault="00A456EC" w:rsidP="00981415">
            <w:pPr>
              <w:adjustRightInd w:val="0"/>
              <w:snapToGrid w:val="0"/>
              <w:spacing w:line="320" w:lineRule="exact"/>
              <w:rPr>
                <w:rFonts w:ascii="宋体" w:hAnsi="宋体" w:cs="Times New Roman"/>
                <w:color w:val="000000" w:themeColor="text1"/>
                <w:kern w:val="0"/>
                <w:sz w:val="24"/>
                <w:szCs w:val="24"/>
              </w:rPr>
            </w:pPr>
            <w:r w:rsidRPr="00DC3DE8">
              <w:rPr>
                <w:rFonts w:ascii="宋体" w:hAnsi="宋体" w:cs="Times New Roman"/>
                <w:color w:val="000000" w:themeColor="text1"/>
                <w:kern w:val="0"/>
                <w:sz w:val="24"/>
                <w:szCs w:val="24"/>
              </w:rPr>
              <w:t>3</w:t>
            </w:r>
            <w:r>
              <w:rPr>
                <w:rFonts w:ascii="宋体" w:hAnsi="宋体" w:cs="Times New Roman" w:hint="eastAsia"/>
                <w:color w:val="000000" w:themeColor="text1"/>
                <w:kern w:val="0"/>
                <w:sz w:val="24"/>
                <w:szCs w:val="24"/>
              </w:rPr>
              <w:t>.</w:t>
            </w:r>
            <w:r w:rsidRPr="00DC3DE8">
              <w:rPr>
                <w:rFonts w:ascii="宋体" w:hAnsi="宋体" w:cs="Times New Roman" w:hint="eastAsia"/>
                <w:color w:val="000000" w:themeColor="text1"/>
                <w:kern w:val="0"/>
                <w:sz w:val="24"/>
                <w:szCs w:val="24"/>
              </w:rPr>
              <w:t>全面提升环境监测、预警和应急能力，完成</w:t>
            </w:r>
            <w:r w:rsidRPr="00DC3DE8">
              <w:rPr>
                <w:rFonts w:ascii="宋体" w:hAnsi="宋体" w:cs="Times New Roman"/>
                <w:color w:val="000000" w:themeColor="text1"/>
                <w:kern w:val="0"/>
                <w:sz w:val="24"/>
                <w:szCs w:val="24"/>
              </w:rPr>
              <w:t>80</w:t>
            </w:r>
            <w:r w:rsidRPr="00DC3DE8">
              <w:rPr>
                <w:rFonts w:ascii="宋体" w:hAnsi="宋体" w:cs="Times New Roman" w:hint="eastAsia"/>
                <w:color w:val="000000" w:themeColor="text1"/>
                <w:kern w:val="0"/>
                <w:sz w:val="24"/>
                <w:szCs w:val="24"/>
              </w:rPr>
              <w:t>余家企业的视频监控安装、联网工作</w:t>
            </w:r>
            <w:r>
              <w:rPr>
                <w:rFonts w:ascii="宋体" w:hAnsi="宋体" w:cs="Times New Roman" w:hint="eastAsia"/>
                <w:color w:val="000000" w:themeColor="text1"/>
                <w:kern w:val="0"/>
                <w:sz w:val="24"/>
                <w:szCs w:val="24"/>
              </w:rPr>
              <w:t>。</w:t>
            </w:r>
          </w:p>
          <w:p w:rsidR="00A456EC" w:rsidRPr="00DC3DE8" w:rsidRDefault="00A456EC" w:rsidP="00981415">
            <w:pPr>
              <w:adjustRightInd w:val="0"/>
              <w:snapToGrid w:val="0"/>
              <w:spacing w:line="320" w:lineRule="exact"/>
              <w:rPr>
                <w:rFonts w:ascii="宋体" w:hAnsi="宋体" w:cs="Times New Roman"/>
                <w:color w:val="000000" w:themeColor="text1"/>
                <w:kern w:val="0"/>
                <w:sz w:val="24"/>
                <w:szCs w:val="24"/>
              </w:rPr>
            </w:pPr>
            <w:r w:rsidRPr="00DC3DE8">
              <w:rPr>
                <w:rFonts w:ascii="宋体" w:hAnsi="宋体" w:cs="Times New Roman"/>
                <w:color w:val="000000" w:themeColor="text1"/>
                <w:kern w:val="0"/>
                <w:sz w:val="24"/>
                <w:szCs w:val="24"/>
              </w:rPr>
              <w:t>4</w:t>
            </w:r>
            <w:r>
              <w:rPr>
                <w:rFonts w:ascii="宋体" w:hAnsi="宋体" w:cs="Times New Roman" w:hint="eastAsia"/>
                <w:color w:val="000000" w:themeColor="text1"/>
                <w:kern w:val="0"/>
                <w:sz w:val="24"/>
                <w:szCs w:val="24"/>
              </w:rPr>
              <w:t>.</w:t>
            </w:r>
            <w:r w:rsidRPr="00DC3DE8">
              <w:rPr>
                <w:rFonts w:ascii="宋体" w:hAnsi="宋体" w:cs="Times New Roman" w:hint="eastAsia"/>
                <w:color w:val="000000" w:themeColor="text1"/>
                <w:kern w:val="0"/>
                <w:sz w:val="24"/>
                <w:szCs w:val="24"/>
              </w:rPr>
              <w:t>健全完善源头严控、过程严管、损害严惩、责任严追、权责严明的生态保护安全监管体系。加强日常监管，组织执法人员对企业重大节假日的节前节后环境安全生产进行检查。</w:t>
            </w:r>
          </w:p>
        </w:tc>
        <w:tc>
          <w:tcPr>
            <w:tcW w:w="1656" w:type="dxa"/>
            <w:vAlign w:val="center"/>
          </w:tcPr>
          <w:p w:rsidR="00A456EC" w:rsidRPr="00DC3DE8" w:rsidRDefault="00A456EC" w:rsidP="00981415">
            <w:pPr>
              <w:adjustRightInd w:val="0"/>
              <w:snapToGrid w:val="0"/>
              <w:spacing w:line="320" w:lineRule="exact"/>
              <w:rPr>
                <w:color w:val="000000" w:themeColor="text1"/>
                <w:sz w:val="24"/>
              </w:rPr>
            </w:pPr>
            <w:r w:rsidRPr="00DC3DE8">
              <w:rPr>
                <w:rFonts w:ascii="宋体" w:hAnsi="宋体" w:cs="Times New Roman" w:hint="eastAsia"/>
                <w:color w:val="000000" w:themeColor="text1"/>
                <w:sz w:val="24"/>
              </w:rPr>
              <w:t>12369</w:t>
            </w:r>
          </w:p>
        </w:tc>
      </w:tr>
      <w:tr w:rsidR="00A456EC" w:rsidTr="00A456EC">
        <w:trPr>
          <w:trHeight w:val="4532"/>
        </w:trPr>
        <w:tc>
          <w:tcPr>
            <w:tcW w:w="868" w:type="dxa"/>
            <w:vAlign w:val="center"/>
          </w:tcPr>
          <w:p w:rsidR="00A456EC" w:rsidRDefault="00A456EC" w:rsidP="00981415">
            <w:pPr>
              <w:adjustRightInd w:val="0"/>
              <w:snapToGrid w:val="0"/>
              <w:spacing w:line="320" w:lineRule="exact"/>
              <w:jc w:val="center"/>
              <w:rPr>
                <w:rFonts w:ascii="仿宋_GB2312" w:eastAsia="仿宋_GB2312"/>
                <w:color w:val="000000"/>
                <w:sz w:val="24"/>
                <w:szCs w:val="24"/>
              </w:rPr>
            </w:pPr>
            <w:r>
              <w:rPr>
                <w:rFonts w:ascii="仿宋_GB2312" w:eastAsia="仿宋_GB2312" w:hint="eastAsia"/>
                <w:color w:val="000000"/>
                <w:sz w:val="24"/>
                <w:szCs w:val="24"/>
              </w:rPr>
              <w:t>6</w:t>
            </w:r>
          </w:p>
        </w:tc>
        <w:tc>
          <w:tcPr>
            <w:tcW w:w="1701" w:type="dxa"/>
            <w:vAlign w:val="center"/>
          </w:tcPr>
          <w:p w:rsidR="00A456EC" w:rsidRDefault="00A456EC" w:rsidP="00981415">
            <w:pPr>
              <w:adjustRightInd w:val="0"/>
              <w:snapToGrid w:val="0"/>
              <w:spacing w:line="320" w:lineRule="exact"/>
              <w:rPr>
                <w:color w:val="000000"/>
                <w:sz w:val="24"/>
              </w:rPr>
            </w:pPr>
            <w:r>
              <w:rPr>
                <w:rFonts w:hint="eastAsia"/>
                <w:color w:val="000000"/>
                <w:sz w:val="24"/>
              </w:rPr>
              <w:t>县住房和城乡建设局</w:t>
            </w:r>
          </w:p>
        </w:tc>
        <w:tc>
          <w:tcPr>
            <w:tcW w:w="1559" w:type="dxa"/>
            <w:vAlign w:val="center"/>
          </w:tcPr>
          <w:p w:rsidR="00A456EC" w:rsidRDefault="00A456EC" w:rsidP="00981415">
            <w:pPr>
              <w:adjustRightInd w:val="0"/>
              <w:snapToGrid w:val="0"/>
              <w:spacing w:line="320" w:lineRule="exact"/>
              <w:rPr>
                <w:rFonts w:ascii="宋体" w:hAnsi="宋体"/>
                <w:color w:val="000000"/>
                <w:sz w:val="24"/>
              </w:rPr>
            </w:pPr>
            <w:r>
              <w:rPr>
                <w:rFonts w:hint="eastAsia"/>
                <w:color w:val="000000"/>
                <w:sz w:val="24"/>
              </w:rPr>
              <w:t>农村困难家庭危房改造集中整治</w:t>
            </w:r>
          </w:p>
        </w:tc>
        <w:tc>
          <w:tcPr>
            <w:tcW w:w="8222" w:type="dxa"/>
            <w:vAlign w:val="center"/>
          </w:tcPr>
          <w:p w:rsidR="00A456EC" w:rsidRDefault="00A456EC" w:rsidP="00981415">
            <w:pPr>
              <w:adjustRightInd w:val="0"/>
              <w:snapToGrid w:val="0"/>
              <w:spacing w:line="320" w:lineRule="exact"/>
              <w:rPr>
                <w:rFonts w:ascii="宋体" w:hAnsi="宋体" w:cs="Times New Roman"/>
                <w:sz w:val="24"/>
              </w:rPr>
            </w:pPr>
            <w:r>
              <w:rPr>
                <w:rFonts w:ascii="宋体" w:hAnsi="宋体" w:cs="Times New Roman" w:hint="eastAsia"/>
                <w:sz w:val="24"/>
              </w:rPr>
              <w:t>1.根据《关于开展全省第二轮农村危房治理改造工作的通知》文件精神，委托第三方鉴定机构完成覆盖全县19个乡镇（街道）的房屋安全检测鉴定。</w:t>
            </w:r>
          </w:p>
          <w:p w:rsidR="00A456EC" w:rsidRDefault="00A456EC" w:rsidP="00981415">
            <w:pPr>
              <w:adjustRightInd w:val="0"/>
              <w:snapToGrid w:val="0"/>
              <w:spacing w:line="320" w:lineRule="exact"/>
              <w:rPr>
                <w:rFonts w:ascii="宋体" w:hAnsi="宋体" w:cs="Times New Roman"/>
                <w:sz w:val="24"/>
              </w:rPr>
            </w:pPr>
            <w:r>
              <w:rPr>
                <w:rFonts w:ascii="宋体" w:hAnsi="宋体" w:cs="Times New Roman" w:hint="eastAsia"/>
                <w:sz w:val="24"/>
              </w:rPr>
              <w:t>2.建立健全制度机制，结合庆元工作实际的基础上，制订《庆元县危险房屋治理实施细则（试行）》。</w:t>
            </w:r>
          </w:p>
          <w:p w:rsidR="00A456EC" w:rsidRPr="0059601B" w:rsidRDefault="00A456EC" w:rsidP="00981415">
            <w:pPr>
              <w:adjustRightInd w:val="0"/>
              <w:snapToGrid w:val="0"/>
              <w:spacing w:line="320" w:lineRule="exact"/>
              <w:rPr>
                <w:rFonts w:ascii="宋体" w:hAnsi="宋体" w:cs="Times New Roman"/>
                <w:sz w:val="24"/>
              </w:rPr>
            </w:pPr>
            <w:r w:rsidRPr="0059601B">
              <w:rPr>
                <w:rFonts w:ascii="宋体" w:hAnsi="宋体" w:cs="Times New Roman" w:hint="eastAsia"/>
                <w:sz w:val="24"/>
              </w:rPr>
              <w:t>3.制定考核标准，将资金规范使用、专项资金账户情况等内容</w:t>
            </w:r>
            <w:r>
              <w:rPr>
                <w:rFonts w:ascii="宋体" w:hAnsi="宋体" w:cs="Times New Roman" w:hint="eastAsia"/>
                <w:sz w:val="24"/>
              </w:rPr>
              <w:t>作为重点检查内容</w:t>
            </w:r>
            <w:r w:rsidRPr="0059601B">
              <w:rPr>
                <w:rFonts w:ascii="宋体" w:hAnsi="宋体" w:cs="Times New Roman" w:hint="eastAsia"/>
                <w:sz w:val="24"/>
              </w:rPr>
              <w:t>，严格执行县、乡、村三级困难户资格认定审核机制，严防不符合补助条件农户冒领补助资金等问题。</w:t>
            </w:r>
          </w:p>
          <w:p w:rsidR="00A456EC" w:rsidRDefault="00A456EC" w:rsidP="00981415">
            <w:pPr>
              <w:adjustRightInd w:val="0"/>
              <w:snapToGrid w:val="0"/>
              <w:spacing w:line="320" w:lineRule="exact"/>
              <w:rPr>
                <w:rFonts w:ascii="宋体" w:hAnsi="宋体" w:cs="Times New Roman"/>
                <w:sz w:val="24"/>
              </w:rPr>
            </w:pPr>
            <w:r>
              <w:rPr>
                <w:rFonts w:ascii="宋体" w:hAnsi="宋体" w:cs="Times New Roman" w:hint="eastAsia"/>
                <w:sz w:val="24"/>
              </w:rPr>
              <w:t>4.提高救助工作公开的有效性，严格按照工作流程，对救助对象开展资格公示、资金拨付公示等工作。</w:t>
            </w:r>
          </w:p>
          <w:p w:rsidR="00A456EC" w:rsidRDefault="00A456EC" w:rsidP="00981415">
            <w:pPr>
              <w:adjustRightInd w:val="0"/>
              <w:snapToGrid w:val="0"/>
              <w:spacing w:line="320" w:lineRule="exact"/>
              <w:rPr>
                <w:rFonts w:ascii="宋体" w:hAnsi="宋体"/>
                <w:color w:val="FF0000"/>
                <w:sz w:val="24"/>
              </w:rPr>
            </w:pPr>
            <w:r>
              <w:rPr>
                <w:rFonts w:ascii="宋体" w:hAnsi="宋体" w:cs="Times New Roman" w:hint="eastAsia"/>
                <w:sz w:val="24"/>
              </w:rPr>
              <w:t>5.对照责任书，细化时间表，紧盯2019年12月底前完成136户困难家庭危房治理任务，确保当年任务当年圆满完成。</w:t>
            </w:r>
          </w:p>
        </w:tc>
        <w:tc>
          <w:tcPr>
            <w:tcW w:w="1656" w:type="dxa"/>
            <w:vAlign w:val="center"/>
          </w:tcPr>
          <w:p w:rsidR="00A456EC" w:rsidRDefault="00A456EC" w:rsidP="00981415">
            <w:pPr>
              <w:adjustRightInd w:val="0"/>
              <w:snapToGrid w:val="0"/>
              <w:spacing w:line="320" w:lineRule="exact"/>
              <w:rPr>
                <w:rFonts w:ascii="宋体" w:hAnsi="宋体" w:cs="Times New Roman"/>
                <w:sz w:val="24"/>
              </w:rPr>
            </w:pPr>
            <w:r>
              <w:rPr>
                <w:rFonts w:ascii="宋体" w:hAnsi="宋体" w:cs="Times New Roman" w:hint="eastAsia"/>
                <w:sz w:val="24"/>
              </w:rPr>
              <w:t>0578-6055760</w:t>
            </w:r>
          </w:p>
        </w:tc>
      </w:tr>
      <w:tr w:rsidR="00A456EC" w:rsidTr="00A456EC">
        <w:trPr>
          <w:trHeight w:val="2548"/>
        </w:trPr>
        <w:tc>
          <w:tcPr>
            <w:tcW w:w="868" w:type="dxa"/>
            <w:vAlign w:val="center"/>
          </w:tcPr>
          <w:p w:rsidR="00A456EC" w:rsidRDefault="00A456EC" w:rsidP="00981415">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lastRenderedPageBreak/>
              <w:t>7</w:t>
            </w:r>
          </w:p>
        </w:tc>
        <w:tc>
          <w:tcPr>
            <w:tcW w:w="1701" w:type="dxa"/>
            <w:vAlign w:val="center"/>
          </w:tcPr>
          <w:p w:rsidR="00A456EC" w:rsidRDefault="00A456EC" w:rsidP="00981415">
            <w:pPr>
              <w:adjustRightInd w:val="0"/>
              <w:snapToGrid w:val="0"/>
              <w:spacing w:line="320" w:lineRule="exact"/>
              <w:rPr>
                <w:color w:val="000000"/>
                <w:sz w:val="24"/>
              </w:rPr>
            </w:pPr>
            <w:r>
              <w:rPr>
                <w:rFonts w:hint="eastAsia"/>
                <w:color w:val="000000"/>
                <w:sz w:val="24"/>
              </w:rPr>
              <w:t>县交通运输局</w:t>
            </w:r>
          </w:p>
        </w:tc>
        <w:tc>
          <w:tcPr>
            <w:tcW w:w="1559" w:type="dxa"/>
            <w:vAlign w:val="center"/>
          </w:tcPr>
          <w:p w:rsidR="00A456EC" w:rsidRDefault="00A456EC" w:rsidP="00981415">
            <w:pPr>
              <w:tabs>
                <w:tab w:val="left" w:pos="312"/>
              </w:tabs>
              <w:snapToGrid w:val="0"/>
              <w:spacing w:line="300" w:lineRule="exact"/>
              <w:jc w:val="left"/>
              <w:rPr>
                <w:rFonts w:cs="Times New Roman"/>
                <w:color w:val="000000"/>
                <w:sz w:val="24"/>
              </w:rPr>
            </w:pPr>
            <w:r>
              <w:rPr>
                <w:rFonts w:cs="Times New Roman" w:hint="eastAsia"/>
                <w:color w:val="000000"/>
                <w:sz w:val="24"/>
              </w:rPr>
              <w:t>公路安全保障能力提升行动</w:t>
            </w:r>
          </w:p>
        </w:tc>
        <w:tc>
          <w:tcPr>
            <w:tcW w:w="8222"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1.强化排查，对全县乡镇街道农村公路安防设施等进行实地调研摸底排查和评估。</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2.强化落实，根据排查情况年底前完成公路安防工程289.2公里。</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3.强化监督检查，项目开工后，每月至少组织一次工程进度和质量检查，并做好记录。</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4.落实整改，发现安装不规范或工程进度滞后现象，及时约谈施工单位，及时落实整改工作，确保公路安全保障工作及时有效的完成。</w:t>
            </w:r>
          </w:p>
        </w:tc>
        <w:tc>
          <w:tcPr>
            <w:tcW w:w="1656" w:type="dxa"/>
            <w:vAlign w:val="center"/>
          </w:tcPr>
          <w:p w:rsidR="00A456EC" w:rsidRDefault="00A456EC" w:rsidP="00981415">
            <w:pPr>
              <w:adjustRightInd w:val="0"/>
              <w:snapToGrid w:val="0"/>
              <w:spacing w:line="320" w:lineRule="exact"/>
              <w:rPr>
                <w:rFonts w:ascii="宋体" w:hAnsi="宋体" w:cs="Times New Roman"/>
                <w:color w:val="000000"/>
                <w:sz w:val="24"/>
              </w:rPr>
            </w:pPr>
            <w:r>
              <w:rPr>
                <w:rFonts w:ascii="宋体" w:hAnsi="宋体" w:cs="Times New Roman" w:hint="eastAsia"/>
                <w:color w:val="000000"/>
                <w:sz w:val="24"/>
              </w:rPr>
              <w:t>0578-6120987</w:t>
            </w:r>
          </w:p>
        </w:tc>
      </w:tr>
      <w:tr w:rsidR="00A456EC">
        <w:trPr>
          <w:trHeight w:val="2108"/>
        </w:trPr>
        <w:tc>
          <w:tcPr>
            <w:tcW w:w="868" w:type="dxa"/>
            <w:vAlign w:val="center"/>
          </w:tcPr>
          <w:p w:rsidR="00A456EC" w:rsidRDefault="00A456EC" w:rsidP="00981415">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8</w:t>
            </w:r>
          </w:p>
        </w:tc>
        <w:tc>
          <w:tcPr>
            <w:tcW w:w="1701" w:type="dxa"/>
            <w:vAlign w:val="center"/>
          </w:tcPr>
          <w:p w:rsidR="00A456EC" w:rsidRDefault="00A456EC" w:rsidP="00981415">
            <w:pPr>
              <w:adjustRightInd w:val="0"/>
              <w:snapToGrid w:val="0"/>
              <w:spacing w:line="300" w:lineRule="exact"/>
              <w:rPr>
                <w:rFonts w:ascii="Times New Roman" w:hAnsi="Times New Roman" w:cs="Times New Roman"/>
                <w:kern w:val="0"/>
                <w:sz w:val="24"/>
                <w:szCs w:val="20"/>
              </w:rPr>
            </w:pPr>
            <w:r>
              <w:rPr>
                <w:rFonts w:ascii="Times New Roman" w:hAnsi="Times New Roman" w:cs="Times New Roman" w:hint="eastAsia"/>
                <w:kern w:val="0"/>
                <w:sz w:val="24"/>
                <w:szCs w:val="20"/>
              </w:rPr>
              <w:t>县水利局</w:t>
            </w:r>
          </w:p>
        </w:tc>
        <w:tc>
          <w:tcPr>
            <w:tcW w:w="1559" w:type="dxa"/>
            <w:vAlign w:val="center"/>
          </w:tcPr>
          <w:p w:rsidR="00A456EC" w:rsidRDefault="00A456EC" w:rsidP="00981415">
            <w:pPr>
              <w:adjustRightInd w:val="0"/>
              <w:snapToGrid w:val="0"/>
              <w:spacing w:line="300" w:lineRule="exact"/>
              <w:rPr>
                <w:sz w:val="24"/>
              </w:rPr>
            </w:pPr>
            <w:r>
              <w:rPr>
                <w:rFonts w:hint="eastAsia"/>
                <w:sz w:val="24"/>
              </w:rPr>
              <w:t>农村饮用水达标提标项目</w:t>
            </w:r>
          </w:p>
        </w:tc>
        <w:tc>
          <w:tcPr>
            <w:tcW w:w="8222"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1.落实地方政府主体责任、水利等部门行业监管责任、供水单位运行管理责任等三个责任，完善县级农村饮水工程运行管理机构、运行管理办法和运行管理经费三项制度。</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2.划定农村饮用水水源地保护范围、制定农村饮用水水源地保护方案、农村饮用水安全应急预案、水费收缴制度等方案对农村供水工程实行标准化、规范化、专业化管护。</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3.推进项目建设，计划到今年年底全面完成涉及全县121个村、8.35万人的农村饮用水达标提标工作，提前一年完成三年达标提标任务。</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4.建立月度统计、督查、通报制度，结合省市督查、暗访，对各乡镇（街道）好的做法、工作进展、滞后项目和存在问题在全县范围通报。</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5.结合“351”服务行动，进村服务群众、服务基层，倾听基层声音，切实解决民生问题，让群众有更多获得感、幸福感、安全感。</w:t>
            </w:r>
          </w:p>
        </w:tc>
        <w:tc>
          <w:tcPr>
            <w:tcW w:w="1656" w:type="dxa"/>
            <w:vAlign w:val="center"/>
          </w:tcPr>
          <w:p w:rsidR="00A456EC" w:rsidRDefault="00A456EC" w:rsidP="00981415">
            <w:pPr>
              <w:adjustRightInd w:val="0"/>
              <w:snapToGrid w:val="0"/>
              <w:spacing w:line="320" w:lineRule="exact"/>
              <w:rPr>
                <w:sz w:val="24"/>
              </w:rPr>
            </w:pPr>
            <w:r>
              <w:rPr>
                <w:rFonts w:ascii="宋体" w:hAnsi="宋体" w:cs="Times New Roman" w:hint="eastAsia"/>
                <w:sz w:val="24"/>
              </w:rPr>
              <w:t>0578-6122520</w:t>
            </w:r>
          </w:p>
        </w:tc>
      </w:tr>
      <w:tr w:rsidR="00A456EC" w:rsidTr="00A456EC">
        <w:trPr>
          <w:trHeight w:val="3682"/>
        </w:trPr>
        <w:tc>
          <w:tcPr>
            <w:tcW w:w="868" w:type="dxa"/>
            <w:vAlign w:val="center"/>
          </w:tcPr>
          <w:p w:rsidR="00A456EC" w:rsidRDefault="00A456EC" w:rsidP="00981415">
            <w:pPr>
              <w:adjustRightInd w:val="0"/>
              <w:snapToGrid w:val="0"/>
              <w:spacing w:line="320" w:lineRule="exact"/>
              <w:jc w:val="center"/>
              <w:rPr>
                <w:rFonts w:ascii="宋体" w:hAnsi="宋体"/>
                <w:color w:val="000000"/>
                <w:sz w:val="24"/>
                <w:szCs w:val="24"/>
              </w:rPr>
            </w:pPr>
            <w:r>
              <w:rPr>
                <w:rFonts w:ascii="宋体" w:hAnsi="宋体" w:hint="eastAsia"/>
                <w:color w:val="000000"/>
                <w:sz w:val="24"/>
                <w:szCs w:val="24"/>
              </w:rPr>
              <w:lastRenderedPageBreak/>
              <w:t>9</w:t>
            </w:r>
          </w:p>
        </w:tc>
        <w:tc>
          <w:tcPr>
            <w:tcW w:w="1701" w:type="dxa"/>
            <w:vAlign w:val="center"/>
          </w:tcPr>
          <w:p w:rsidR="00A456EC" w:rsidRDefault="00A456EC" w:rsidP="00981415">
            <w:pPr>
              <w:adjustRightInd w:val="0"/>
              <w:snapToGrid w:val="0"/>
              <w:spacing w:line="320" w:lineRule="exac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县农业农村局</w:t>
            </w:r>
          </w:p>
        </w:tc>
        <w:tc>
          <w:tcPr>
            <w:tcW w:w="1559" w:type="dxa"/>
            <w:vAlign w:val="center"/>
          </w:tcPr>
          <w:p w:rsidR="00A456EC" w:rsidRDefault="00A456EC" w:rsidP="00981415">
            <w:pPr>
              <w:adjustRightInd w:val="0"/>
              <w:snapToGrid w:val="0"/>
              <w:spacing w:line="320" w:lineRule="exac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农村集体“三资”规范化管理整治</w:t>
            </w:r>
          </w:p>
        </w:tc>
        <w:tc>
          <w:tcPr>
            <w:tcW w:w="8222"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1.建立健全农村集体“三资”管理制度，制定出台《庆元县村级集体经济组织差旅费管理规定》。</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2.建立健全基层农经管理体系，加强农经队伍建设，以机构改革为契机，积极推动代理会计和农经员相分离，农经员不得兼任代理会计，乡镇（街道）严格把好村级财务审核关。</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3.组织开展村级财务管理业务培训会，提高村级财务公开的有效性，适时开展村级财务公开的明察暗访。</w:t>
            </w:r>
          </w:p>
          <w:p w:rsidR="00A456EC" w:rsidRDefault="00A456EC" w:rsidP="00981415">
            <w:pPr>
              <w:adjustRightInd w:val="0"/>
              <w:snapToGrid w:val="0"/>
              <w:spacing w:line="320" w:lineRule="exact"/>
              <w:rPr>
                <w:rFonts w:ascii="宋体" w:hAnsi="宋体"/>
                <w:color w:val="000000"/>
                <w:sz w:val="32"/>
                <w:szCs w:val="32"/>
              </w:rPr>
            </w:pPr>
            <w:r>
              <w:rPr>
                <w:rFonts w:ascii="宋体" w:hAnsi="宋体" w:cs="Times New Roman" w:hint="eastAsia"/>
                <w:kern w:val="0"/>
                <w:sz w:val="24"/>
                <w:szCs w:val="24"/>
              </w:rPr>
              <w:t>4.按照“三年一轮审”的要求，委托有资质的第三方中介机构全面完成村级财务审计，督促乡镇（街道）牵头做好审计发现问题的整改。</w:t>
            </w:r>
          </w:p>
        </w:tc>
        <w:tc>
          <w:tcPr>
            <w:tcW w:w="1656" w:type="dxa"/>
            <w:vAlign w:val="center"/>
          </w:tcPr>
          <w:p w:rsidR="00A456EC" w:rsidRDefault="00A456EC" w:rsidP="00981415">
            <w:pPr>
              <w:adjustRightInd w:val="0"/>
              <w:snapToGrid w:val="0"/>
              <w:spacing w:line="360" w:lineRule="exact"/>
              <w:rPr>
                <w:rFonts w:ascii="宋体" w:hAnsi="宋体" w:cs="Times New Roman"/>
                <w:color w:val="000000"/>
                <w:kern w:val="0"/>
                <w:sz w:val="24"/>
                <w:szCs w:val="24"/>
              </w:rPr>
            </w:pPr>
            <w:r>
              <w:rPr>
                <w:rFonts w:ascii="宋体" w:hAnsi="宋体" w:cs="Times New Roman" w:hint="eastAsia"/>
                <w:color w:val="000000"/>
                <w:kern w:val="0"/>
                <w:sz w:val="24"/>
                <w:szCs w:val="24"/>
              </w:rPr>
              <w:t>0578-</w:t>
            </w:r>
            <w:r>
              <w:rPr>
                <w:rFonts w:ascii="宋体" w:hAnsi="宋体" w:cs="Times New Roman"/>
                <w:color w:val="000000"/>
                <w:kern w:val="0"/>
                <w:sz w:val="24"/>
                <w:szCs w:val="24"/>
              </w:rPr>
              <w:t>6112407</w:t>
            </w:r>
          </w:p>
        </w:tc>
      </w:tr>
      <w:tr w:rsidR="00A456EC" w:rsidTr="00A456EC">
        <w:trPr>
          <w:trHeight w:val="2813"/>
        </w:trPr>
        <w:tc>
          <w:tcPr>
            <w:tcW w:w="868" w:type="dxa"/>
            <w:vAlign w:val="center"/>
          </w:tcPr>
          <w:p w:rsidR="00A456EC" w:rsidRDefault="00A456EC" w:rsidP="00981415">
            <w:pPr>
              <w:adjustRightInd w:val="0"/>
              <w:snapToGrid w:val="0"/>
              <w:spacing w:line="32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10</w:t>
            </w:r>
          </w:p>
        </w:tc>
        <w:tc>
          <w:tcPr>
            <w:tcW w:w="1701" w:type="dxa"/>
            <w:vAlign w:val="center"/>
          </w:tcPr>
          <w:p w:rsidR="00A456EC" w:rsidRDefault="00A456EC" w:rsidP="00981415">
            <w:pPr>
              <w:adjustRightInd w:val="0"/>
              <w:snapToGrid w:val="0"/>
              <w:spacing w:line="320" w:lineRule="exact"/>
              <w:rPr>
                <w:rFonts w:ascii="Times New Roman" w:hAnsi="Times New Roman" w:cs="Times New Roman"/>
                <w:kern w:val="0"/>
                <w:sz w:val="24"/>
                <w:szCs w:val="24"/>
              </w:rPr>
            </w:pPr>
            <w:r>
              <w:rPr>
                <w:rFonts w:ascii="Times New Roman" w:hAnsi="Times New Roman" w:cs="Times New Roman" w:hint="eastAsia"/>
                <w:kern w:val="0"/>
                <w:sz w:val="24"/>
                <w:szCs w:val="24"/>
              </w:rPr>
              <w:t>县农业农村局</w:t>
            </w:r>
          </w:p>
          <w:p w:rsidR="00A456EC" w:rsidRDefault="00A456EC" w:rsidP="00981415">
            <w:pPr>
              <w:adjustRightInd w:val="0"/>
              <w:snapToGrid w:val="0"/>
              <w:spacing w:line="320" w:lineRule="exact"/>
              <w:rPr>
                <w:rFonts w:ascii="Times New Roman" w:hAnsi="Times New Roman" w:cs="Times New Roman"/>
                <w:kern w:val="0"/>
                <w:sz w:val="24"/>
                <w:szCs w:val="24"/>
              </w:rPr>
            </w:pPr>
            <w:r>
              <w:rPr>
                <w:rFonts w:ascii="Times New Roman" w:hAnsi="Times New Roman" w:cs="Times New Roman" w:hint="eastAsia"/>
                <w:kern w:val="0"/>
                <w:sz w:val="24"/>
                <w:szCs w:val="24"/>
              </w:rPr>
              <w:t>（县扶贫办）</w:t>
            </w:r>
          </w:p>
        </w:tc>
        <w:tc>
          <w:tcPr>
            <w:tcW w:w="1559" w:type="dxa"/>
            <w:vAlign w:val="center"/>
          </w:tcPr>
          <w:p w:rsidR="00A456EC" w:rsidRDefault="00A456EC" w:rsidP="00981415">
            <w:pPr>
              <w:adjustRightInd w:val="0"/>
              <w:snapToGrid w:val="0"/>
              <w:spacing w:line="320" w:lineRule="exact"/>
              <w:rPr>
                <w:rFonts w:ascii="Times New Roman" w:hAnsi="Times New Roman" w:cs="Times New Roman"/>
                <w:kern w:val="0"/>
                <w:sz w:val="24"/>
                <w:szCs w:val="24"/>
              </w:rPr>
            </w:pPr>
            <w:r>
              <w:rPr>
                <w:rFonts w:ascii="Times New Roman" w:hAnsi="Times New Roman" w:cs="Times New Roman" w:hint="eastAsia"/>
                <w:kern w:val="0"/>
                <w:sz w:val="24"/>
                <w:szCs w:val="24"/>
              </w:rPr>
              <w:t>产业扶贫项目整治</w:t>
            </w:r>
          </w:p>
        </w:tc>
        <w:tc>
          <w:tcPr>
            <w:tcW w:w="8222" w:type="dxa"/>
            <w:vAlign w:val="center"/>
          </w:tcPr>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kern w:val="0"/>
                <w:sz w:val="24"/>
                <w:szCs w:val="24"/>
              </w:rPr>
              <w:t>1.</w:t>
            </w:r>
            <w:r>
              <w:rPr>
                <w:rFonts w:ascii="宋体" w:hAnsi="宋体" w:cs="Times New Roman" w:hint="eastAsia"/>
                <w:kern w:val="0"/>
                <w:sz w:val="24"/>
                <w:szCs w:val="24"/>
              </w:rPr>
              <w:t>加强政策宣传，编印《精准扶贫政策一本通》，开展县、乡、村三级扶贫干部扶贫政策解读培训，提高政策知晓率。</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kern w:val="0"/>
                <w:sz w:val="24"/>
                <w:szCs w:val="24"/>
              </w:rPr>
              <w:t>2.</w:t>
            </w:r>
            <w:r>
              <w:rPr>
                <w:rFonts w:ascii="宋体" w:hAnsi="宋体" w:cs="Times New Roman" w:hint="eastAsia"/>
                <w:kern w:val="0"/>
                <w:sz w:val="24"/>
                <w:szCs w:val="24"/>
              </w:rPr>
              <w:t>完善产业扶贫项目管理办法，组织产业扶贫项目管理业务培训，进一步规范项目申报、立项、实施、公示、验收等工作程序。</w:t>
            </w:r>
          </w:p>
          <w:p w:rsidR="00A456EC" w:rsidRDefault="00A456EC" w:rsidP="00981415">
            <w:pPr>
              <w:adjustRightInd w:val="0"/>
              <w:snapToGrid w:val="0"/>
              <w:spacing w:line="320" w:lineRule="exact"/>
              <w:rPr>
                <w:rFonts w:ascii="宋体" w:hAnsi="宋体" w:cs="Times New Roman"/>
                <w:kern w:val="0"/>
                <w:sz w:val="24"/>
                <w:szCs w:val="24"/>
              </w:rPr>
            </w:pPr>
            <w:r>
              <w:rPr>
                <w:rFonts w:ascii="宋体" w:hAnsi="宋体" w:cs="Times New Roman"/>
                <w:kern w:val="0"/>
                <w:sz w:val="24"/>
                <w:szCs w:val="24"/>
              </w:rPr>
              <w:t>3.</w:t>
            </w:r>
            <w:r>
              <w:rPr>
                <w:rFonts w:ascii="宋体" w:hAnsi="宋体" w:cs="Times New Roman" w:hint="eastAsia"/>
                <w:kern w:val="0"/>
                <w:sz w:val="24"/>
                <w:szCs w:val="24"/>
              </w:rPr>
              <w:t>建立项目督查制，定期或不定期对扶贫资金管理及项目实施、效益情况进行监督检查，促进工作规范落实。</w:t>
            </w:r>
          </w:p>
        </w:tc>
        <w:tc>
          <w:tcPr>
            <w:tcW w:w="1656" w:type="dxa"/>
            <w:vAlign w:val="center"/>
          </w:tcPr>
          <w:p w:rsidR="00A456EC" w:rsidRDefault="00A456EC" w:rsidP="00981415">
            <w:pPr>
              <w:adjustRightInd w:val="0"/>
              <w:snapToGrid w:val="0"/>
              <w:spacing w:line="360" w:lineRule="exact"/>
              <w:rPr>
                <w:rFonts w:ascii="宋体" w:hAnsi="宋体" w:cs="Times New Roman"/>
                <w:kern w:val="0"/>
                <w:sz w:val="24"/>
                <w:szCs w:val="24"/>
              </w:rPr>
            </w:pPr>
            <w:r>
              <w:rPr>
                <w:rFonts w:ascii="宋体" w:hAnsi="宋体" w:cs="Times New Roman" w:hint="eastAsia"/>
                <w:kern w:val="0"/>
                <w:sz w:val="24"/>
                <w:szCs w:val="24"/>
              </w:rPr>
              <w:t>0578-</w:t>
            </w:r>
            <w:r>
              <w:rPr>
                <w:rFonts w:ascii="宋体" w:hAnsi="宋体" w:cs="Times New Roman"/>
                <w:kern w:val="0"/>
                <w:sz w:val="24"/>
                <w:szCs w:val="24"/>
              </w:rPr>
              <w:t>6381530</w:t>
            </w:r>
          </w:p>
        </w:tc>
      </w:tr>
      <w:tr w:rsidR="00A456EC">
        <w:trPr>
          <w:trHeight w:val="2108"/>
        </w:trPr>
        <w:tc>
          <w:tcPr>
            <w:tcW w:w="868" w:type="dxa"/>
            <w:vAlign w:val="center"/>
          </w:tcPr>
          <w:p w:rsidR="00A456EC" w:rsidRDefault="00A456EC" w:rsidP="00981415">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lastRenderedPageBreak/>
              <w:t>11</w:t>
            </w:r>
          </w:p>
        </w:tc>
        <w:tc>
          <w:tcPr>
            <w:tcW w:w="1701" w:type="dxa"/>
            <w:vAlign w:val="center"/>
          </w:tcPr>
          <w:p w:rsidR="00A456EC" w:rsidRDefault="00A456EC" w:rsidP="00981415">
            <w:pPr>
              <w:adjustRightInd w:val="0"/>
              <w:snapToGrid w:val="0"/>
              <w:spacing w:line="320" w:lineRule="exact"/>
              <w:rPr>
                <w:sz w:val="24"/>
              </w:rPr>
            </w:pPr>
            <w:r>
              <w:rPr>
                <w:rFonts w:cs="Times New Roman" w:hint="eastAsia"/>
                <w:sz w:val="24"/>
              </w:rPr>
              <w:t>县卫生健康局</w:t>
            </w:r>
          </w:p>
        </w:tc>
        <w:tc>
          <w:tcPr>
            <w:tcW w:w="1559" w:type="dxa"/>
            <w:vAlign w:val="center"/>
          </w:tcPr>
          <w:p w:rsidR="00A456EC" w:rsidRDefault="00A456EC" w:rsidP="00981415">
            <w:pPr>
              <w:adjustRightInd w:val="0"/>
              <w:snapToGrid w:val="0"/>
              <w:spacing w:line="320" w:lineRule="exact"/>
              <w:rPr>
                <w:rFonts w:ascii="宋体" w:hAnsi="宋体" w:cs="仿宋"/>
                <w:kern w:val="0"/>
                <w:sz w:val="24"/>
                <w:szCs w:val="20"/>
              </w:rPr>
            </w:pPr>
            <w:r>
              <w:rPr>
                <w:rFonts w:ascii="宋体" w:hAnsi="宋体" w:cs="Times New Roman" w:hint="eastAsia"/>
                <w:sz w:val="24"/>
              </w:rPr>
              <w:t>医疗卫生行风建设“九不准”问题</w:t>
            </w:r>
            <w:r>
              <w:rPr>
                <w:rFonts w:ascii="宋体" w:hAnsi="宋体" w:cs="Times New Roman"/>
                <w:sz w:val="24"/>
              </w:rPr>
              <w:t>整治</w:t>
            </w:r>
            <w:r>
              <w:rPr>
                <w:rFonts w:ascii="宋体" w:hAnsi="宋体" w:cs="Times New Roman" w:hint="eastAsia"/>
                <w:sz w:val="24"/>
              </w:rPr>
              <w:t>行动</w:t>
            </w:r>
          </w:p>
        </w:tc>
        <w:tc>
          <w:tcPr>
            <w:tcW w:w="8222" w:type="dxa"/>
            <w:vAlign w:val="center"/>
          </w:tcPr>
          <w:p w:rsidR="00A456EC" w:rsidRPr="00723245" w:rsidRDefault="00A456EC" w:rsidP="00981415">
            <w:pPr>
              <w:adjustRightInd w:val="0"/>
              <w:snapToGrid w:val="0"/>
              <w:spacing w:line="320" w:lineRule="exact"/>
              <w:rPr>
                <w:rFonts w:ascii="宋体" w:hAnsi="宋体" w:cs="Times New Roman"/>
                <w:sz w:val="24"/>
              </w:rPr>
            </w:pPr>
            <w:r w:rsidRPr="00723245">
              <w:rPr>
                <w:rFonts w:ascii="宋体" w:hAnsi="宋体" w:cs="Times New Roman" w:hint="eastAsia"/>
                <w:sz w:val="24"/>
              </w:rPr>
              <w:t>1.严格落实医疗卫生行风建设“九不准”等规定，以自查和督查等方式相结合，严肃查处医药购销和医疗服务中收受回扣、“红包”、宴请等腐败问题。</w:t>
            </w:r>
          </w:p>
          <w:p w:rsidR="00A456EC" w:rsidRPr="00723245" w:rsidRDefault="00A456EC" w:rsidP="00981415">
            <w:pPr>
              <w:adjustRightInd w:val="0"/>
              <w:snapToGrid w:val="0"/>
              <w:spacing w:line="320" w:lineRule="exact"/>
              <w:rPr>
                <w:rFonts w:ascii="宋体" w:hAnsi="宋体" w:cs="Times New Roman"/>
                <w:sz w:val="24"/>
              </w:rPr>
            </w:pPr>
            <w:r w:rsidRPr="00723245">
              <w:rPr>
                <w:rFonts w:ascii="宋体" w:hAnsi="宋体" w:cs="Times New Roman" w:hint="eastAsia"/>
                <w:sz w:val="24"/>
              </w:rPr>
              <w:t>2.强化信息公开机制，实施“阳光用药”、“阳光采购”，设立并公开举报投诉电话，畅通监督渠道。</w:t>
            </w:r>
          </w:p>
          <w:p w:rsidR="00A456EC" w:rsidRPr="00723245" w:rsidRDefault="00A456EC" w:rsidP="00981415">
            <w:pPr>
              <w:adjustRightInd w:val="0"/>
              <w:snapToGrid w:val="0"/>
              <w:spacing w:line="320" w:lineRule="exact"/>
              <w:rPr>
                <w:rFonts w:ascii="宋体" w:hAnsi="宋体" w:cs="Times New Roman"/>
                <w:sz w:val="24"/>
              </w:rPr>
            </w:pPr>
            <w:r w:rsidRPr="00723245">
              <w:rPr>
                <w:rFonts w:ascii="宋体" w:hAnsi="宋体" w:cs="Times New Roman" w:hint="eastAsia"/>
                <w:sz w:val="24"/>
              </w:rPr>
              <w:t>3.健全廉政风险防控机制，围绕项目建设、药品采购、器械采购、财务运行等关键岗位、关键环节，科学确定风险等级，明确提出防控措施，健全重点领域和关键环节的监管制度和工作流程。</w:t>
            </w:r>
          </w:p>
          <w:p w:rsidR="00A456EC" w:rsidRPr="00723245" w:rsidRDefault="00A456EC" w:rsidP="00981415">
            <w:pPr>
              <w:adjustRightInd w:val="0"/>
              <w:snapToGrid w:val="0"/>
              <w:spacing w:line="320" w:lineRule="exact"/>
              <w:rPr>
                <w:rFonts w:ascii="宋体" w:hAnsi="宋体" w:cs="Times New Roman"/>
                <w:sz w:val="24"/>
              </w:rPr>
            </w:pPr>
            <w:r w:rsidRPr="00723245">
              <w:rPr>
                <w:rFonts w:ascii="宋体" w:hAnsi="宋体" w:cs="Times New Roman" w:hint="eastAsia"/>
                <w:sz w:val="24"/>
              </w:rPr>
              <w:t>4.强化医疗质量管理，常态化开展处方点评活动，每月组织专家开展用药合理性分析，对存在不合理用药的品种采取暂停用药、限制用量、取消采购等处理;充分利用合理用药系统，对药品不合理使用提前进行干预措施。</w:t>
            </w:r>
          </w:p>
          <w:p w:rsidR="00A456EC" w:rsidRDefault="00A456EC" w:rsidP="00981415">
            <w:pPr>
              <w:adjustRightInd w:val="0"/>
              <w:snapToGrid w:val="0"/>
              <w:spacing w:line="320" w:lineRule="exact"/>
              <w:rPr>
                <w:rFonts w:ascii="宋体" w:hAnsi="宋体"/>
                <w:sz w:val="24"/>
              </w:rPr>
            </w:pPr>
            <w:r w:rsidRPr="00723245">
              <w:rPr>
                <w:rFonts w:ascii="宋体" w:hAnsi="宋体" w:cs="Times New Roman" w:hint="eastAsia"/>
                <w:sz w:val="24"/>
              </w:rPr>
              <w:t>5.严格落实医德考评制度，开展医务人员医德医风考核评价工作，将考评结果与医务人员绩效考核等个人切身利益直接挂钩。</w:t>
            </w:r>
          </w:p>
        </w:tc>
        <w:tc>
          <w:tcPr>
            <w:tcW w:w="1656" w:type="dxa"/>
            <w:vAlign w:val="center"/>
          </w:tcPr>
          <w:p w:rsidR="00A456EC" w:rsidRDefault="00A456EC" w:rsidP="00981415">
            <w:pPr>
              <w:adjustRightInd w:val="0"/>
              <w:snapToGrid w:val="0"/>
              <w:spacing w:line="360" w:lineRule="exact"/>
              <w:rPr>
                <w:rFonts w:ascii="宋体" w:hAnsi="宋体" w:cs="Times New Roman"/>
                <w:kern w:val="0"/>
                <w:sz w:val="24"/>
                <w:szCs w:val="24"/>
              </w:rPr>
            </w:pPr>
            <w:r>
              <w:rPr>
                <w:rFonts w:ascii="宋体" w:hAnsi="宋体" w:cs="Times New Roman" w:hint="eastAsia"/>
                <w:kern w:val="0"/>
                <w:sz w:val="24"/>
                <w:szCs w:val="24"/>
              </w:rPr>
              <w:t>0578-6122897</w:t>
            </w:r>
          </w:p>
        </w:tc>
      </w:tr>
      <w:tr w:rsidR="00A456EC">
        <w:trPr>
          <w:trHeight w:val="2690"/>
        </w:trPr>
        <w:tc>
          <w:tcPr>
            <w:tcW w:w="868" w:type="dxa"/>
            <w:vAlign w:val="center"/>
          </w:tcPr>
          <w:p w:rsidR="00A456EC" w:rsidRDefault="00A456EC">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12</w:t>
            </w:r>
          </w:p>
        </w:tc>
        <w:tc>
          <w:tcPr>
            <w:tcW w:w="1701" w:type="dxa"/>
            <w:vAlign w:val="center"/>
          </w:tcPr>
          <w:p w:rsidR="00A456EC" w:rsidRDefault="00A456EC">
            <w:pPr>
              <w:adjustRightInd w:val="0"/>
              <w:snapToGrid w:val="0"/>
              <w:spacing w:line="320" w:lineRule="exact"/>
              <w:rPr>
                <w:rFonts w:ascii="Times New Roman" w:hAnsi="Times New Roman" w:cs="Times New Roman"/>
                <w:kern w:val="0"/>
                <w:sz w:val="24"/>
                <w:szCs w:val="24"/>
              </w:rPr>
            </w:pPr>
            <w:r w:rsidRPr="00F8448C">
              <w:rPr>
                <w:rFonts w:ascii="Times New Roman" w:hAnsi="Times New Roman" w:cs="Times New Roman" w:hint="eastAsia"/>
                <w:color w:val="000000" w:themeColor="text1"/>
                <w:kern w:val="0"/>
                <w:sz w:val="24"/>
                <w:szCs w:val="24"/>
              </w:rPr>
              <w:t>县市场监督管理局</w:t>
            </w:r>
          </w:p>
        </w:tc>
        <w:tc>
          <w:tcPr>
            <w:tcW w:w="1559" w:type="dxa"/>
            <w:vAlign w:val="center"/>
          </w:tcPr>
          <w:p w:rsidR="00A456EC" w:rsidRDefault="00A456EC">
            <w:pPr>
              <w:adjustRightInd w:val="0"/>
              <w:snapToGrid w:val="0"/>
              <w:spacing w:line="320" w:lineRule="exact"/>
              <w:rPr>
                <w:rFonts w:ascii="Times New Roman" w:hAnsi="Times New Roman" w:cs="Times New Roman"/>
                <w:kern w:val="0"/>
                <w:sz w:val="24"/>
                <w:szCs w:val="24"/>
              </w:rPr>
            </w:pPr>
            <w:r>
              <w:rPr>
                <w:rFonts w:ascii="宋体" w:hAnsi="宋体" w:cs="仿宋" w:hint="eastAsia"/>
                <w:kern w:val="0"/>
                <w:sz w:val="24"/>
                <w:szCs w:val="20"/>
              </w:rPr>
              <w:t>液化气充气站及保健品市场专项整治</w:t>
            </w:r>
          </w:p>
        </w:tc>
        <w:tc>
          <w:tcPr>
            <w:tcW w:w="8222" w:type="dxa"/>
            <w:vAlign w:val="center"/>
          </w:tcPr>
          <w:p w:rsidR="00A456EC" w:rsidRDefault="00A456EC">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会同燃气主管部门，督促液化气站公示气瓶置换方案、置换方式和不同年份气瓶价目表，用户租赁气瓶后应出具相关凭证，对用户退瓶制定相关规定；在充装站、配送门市部等显著位置设置公平秤并定期检定，显著位置设置充装量公示。</w:t>
            </w:r>
          </w:p>
          <w:p w:rsidR="00A456EC" w:rsidRDefault="00A456EC">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2.定期进行计量抽检，加强监管，确保充装足量符合其公示量，维护消费者权益。</w:t>
            </w:r>
          </w:p>
          <w:p w:rsidR="00A456EC" w:rsidRDefault="00A456EC">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3.开展保健食品科普宣传活动，加强宣传引导和社会综合治理，健全社会共治机制。</w:t>
            </w:r>
          </w:p>
          <w:p w:rsidR="00A456EC" w:rsidRDefault="00A456EC">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4.排查保健品生产经营企业，督促落实主体责任，突出整治重点要点,强化案件查办严惩。</w:t>
            </w:r>
          </w:p>
        </w:tc>
        <w:tc>
          <w:tcPr>
            <w:tcW w:w="1656" w:type="dxa"/>
            <w:vAlign w:val="center"/>
          </w:tcPr>
          <w:p w:rsidR="00A456EC" w:rsidRDefault="00A456EC">
            <w:pPr>
              <w:adjustRightInd w:val="0"/>
              <w:snapToGrid w:val="0"/>
              <w:spacing w:line="360" w:lineRule="exact"/>
              <w:rPr>
                <w:rFonts w:ascii="宋体" w:hAnsi="宋体" w:cs="Times New Roman"/>
                <w:kern w:val="0"/>
                <w:sz w:val="24"/>
                <w:szCs w:val="24"/>
              </w:rPr>
            </w:pPr>
            <w:r>
              <w:rPr>
                <w:rFonts w:ascii="宋体" w:hAnsi="宋体" w:cs="Times New Roman" w:hint="eastAsia"/>
                <w:kern w:val="0"/>
                <w:sz w:val="24"/>
                <w:szCs w:val="24"/>
              </w:rPr>
              <w:t>96315</w:t>
            </w:r>
          </w:p>
        </w:tc>
      </w:tr>
      <w:tr w:rsidR="00A456EC" w:rsidTr="00AD3D68">
        <w:trPr>
          <w:trHeight w:val="2825"/>
        </w:trPr>
        <w:tc>
          <w:tcPr>
            <w:tcW w:w="868" w:type="dxa"/>
            <w:vAlign w:val="center"/>
          </w:tcPr>
          <w:p w:rsidR="00A456EC" w:rsidRDefault="00A456EC">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lastRenderedPageBreak/>
              <w:t>13</w:t>
            </w:r>
          </w:p>
        </w:tc>
        <w:tc>
          <w:tcPr>
            <w:tcW w:w="1701" w:type="dxa"/>
            <w:vAlign w:val="center"/>
          </w:tcPr>
          <w:p w:rsidR="00A456EC" w:rsidRDefault="00A456EC">
            <w:pPr>
              <w:adjustRightInd w:val="0"/>
              <w:snapToGrid w:val="0"/>
              <w:spacing w:line="320" w:lineRule="exact"/>
              <w:rPr>
                <w:sz w:val="24"/>
              </w:rPr>
            </w:pPr>
            <w:r>
              <w:rPr>
                <w:rFonts w:hint="eastAsia"/>
                <w:sz w:val="24"/>
              </w:rPr>
              <w:t>县统计局</w:t>
            </w:r>
          </w:p>
        </w:tc>
        <w:tc>
          <w:tcPr>
            <w:tcW w:w="1559" w:type="dxa"/>
            <w:vAlign w:val="center"/>
          </w:tcPr>
          <w:p w:rsidR="00A456EC" w:rsidRDefault="00A456EC">
            <w:pPr>
              <w:adjustRightInd w:val="0"/>
              <w:snapToGrid w:val="0"/>
              <w:spacing w:line="300" w:lineRule="exact"/>
              <w:rPr>
                <w:sz w:val="24"/>
              </w:rPr>
            </w:pPr>
            <w:r>
              <w:rPr>
                <w:rFonts w:ascii="Times New Roman" w:hAnsi="Times New Roman" w:cs="Times New Roman" w:hint="eastAsia"/>
                <w:kern w:val="0"/>
                <w:sz w:val="24"/>
                <w:szCs w:val="20"/>
              </w:rPr>
              <w:t>提</w:t>
            </w:r>
            <w:r>
              <w:rPr>
                <w:rFonts w:ascii="Times New Roman" w:hAnsi="Times New Roman" w:cs="Times New Roman"/>
                <w:kern w:val="0"/>
                <w:sz w:val="24"/>
                <w:szCs w:val="20"/>
              </w:rPr>
              <w:t>升统计</w:t>
            </w:r>
            <w:r>
              <w:rPr>
                <w:rFonts w:ascii="Times New Roman" w:hAnsi="Times New Roman" w:cs="Times New Roman" w:hint="eastAsia"/>
                <w:kern w:val="0"/>
                <w:sz w:val="24"/>
                <w:szCs w:val="20"/>
              </w:rPr>
              <w:t>数</w:t>
            </w:r>
            <w:r>
              <w:rPr>
                <w:rFonts w:ascii="Times New Roman" w:hAnsi="Times New Roman" w:cs="Times New Roman"/>
                <w:kern w:val="0"/>
                <w:sz w:val="24"/>
                <w:szCs w:val="20"/>
              </w:rPr>
              <w:t>据</w:t>
            </w:r>
            <w:r>
              <w:rPr>
                <w:rFonts w:ascii="Times New Roman" w:hAnsi="Times New Roman" w:cs="Times New Roman" w:hint="eastAsia"/>
                <w:kern w:val="0"/>
                <w:sz w:val="24"/>
                <w:szCs w:val="20"/>
              </w:rPr>
              <w:t>质</w:t>
            </w:r>
            <w:r>
              <w:rPr>
                <w:rFonts w:ascii="Times New Roman" w:hAnsi="Times New Roman" w:cs="Times New Roman"/>
                <w:kern w:val="0"/>
                <w:sz w:val="24"/>
                <w:szCs w:val="20"/>
              </w:rPr>
              <w:t>量</w:t>
            </w:r>
            <w:r>
              <w:rPr>
                <w:rFonts w:ascii="Times New Roman" w:hAnsi="Times New Roman" w:cs="Times New Roman" w:hint="eastAsia"/>
                <w:kern w:val="0"/>
                <w:sz w:val="24"/>
                <w:szCs w:val="20"/>
              </w:rPr>
              <w:t>专</w:t>
            </w:r>
            <w:r>
              <w:rPr>
                <w:rFonts w:ascii="Times New Roman" w:hAnsi="Times New Roman" w:cs="Times New Roman"/>
                <w:kern w:val="0"/>
                <w:sz w:val="24"/>
                <w:szCs w:val="20"/>
              </w:rPr>
              <w:t>项活动</w:t>
            </w:r>
          </w:p>
        </w:tc>
        <w:tc>
          <w:tcPr>
            <w:tcW w:w="8222" w:type="dxa"/>
            <w:vAlign w:val="center"/>
          </w:tcPr>
          <w:p w:rsidR="00A456EC" w:rsidRDefault="00A456EC" w:rsidP="00E064B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1.送服务下基层，开展项目入库指导工作，全程服务固定资产投资项目5个。</w:t>
            </w:r>
          </w:p>
          <w:p w:rsidR="00A456EC" w:rsidRDefault="00A456EC" w:rsidP="00E064B5">
            <w:pPr>
              <w:adjustRightInd w:val="0"/>
              <w:snapToGrid w:val="0"/>
              <w:spacing w:line="320" w:lineRule="exact"/>
              <w:rPr>
                <w:rFonts w:ascii="宋体" w:hAnsi="宋体" w:cs="Times New Roman"/>
                <w:kern w:val="0"/>
                <w:sz w:val="24"/>
                <w:szCs w:val="24"/>
              </w:rPr>
            </w:pPr>
            <w:r>
              <w:rPr>
                <w:rFonts w:ascii="宋体" w:hAnsi="宋体" w:cs="Times New Roman" w:hint="eastAsia"/>
                <w:kern w:val="0"/>
                <w:sz w:val="24"/>
                <w:szCs w:val="24"/>
              </w:rPr>
              <w:t>2.提升专业化水平，组织统计员参加对口支援地区统计系统工作人员综合能力提升培训班学习。</w:t>
            </w:r>
          </w:p>
          <w:p w:rsidR="00A456EC" w:rsidRDefault="00A456EC" w:rsidP="00E064B5">
            <w:pPr>
              <w:adjustRightInd w:val="0"/>
              <w:snapToGrid w:val="0"/>
              <w:spacing w:line="320" w:lineRule="exact"/>
              <w:rPr>
                <w:sz w:val="24"/>
              </w:rPr>
            </w:pPr>
            <w:r>
              <w:rPr>
                <w:rFonts w:ascii="宋体" w:hAnsi="宋体" w:cs="Times New Roman" w:hint="eastAsia"/>
                <w:kern w:val="0"/>
                <w:sz w:val="24"/>
                <w:szCs w:val="24"/>
              </w:rPr>
              <w:t>3.强化统计数据质量管控，</w:t>
            </w:r>
            <w:r w:rsidRPr="00FA456F">
              <w:rPr>
                <w:rFonts w:ascii="宋体" w:hAnsi="宋体" w:cs="Times New Roman" w:hint="eastAsia"/>
                <w:kern w:val="0"/>
                <w:sz w:val="24"/>
                <w:szCs w:val="24"/>
              </w:rPr>
              <w:t>加大</w:t>
            </w:r>
            <w:r>
              <w:rPr>
                <w:rFonts w:ascii="宋体" w:hAnsi="宋体" w:cs="Times New Roman" w:hint="eastAsia"/>
                <w:kern w:val="0"/>
                <w:sz w:val="24"/>
                <w:szCs w:val="24"/>
              </w:rPr>
              <w:t>统计</w:t>
            </w:r>
            <w:r w:rsidRPr="00FA456F">
              <w:rPr>
                <w:rFonts w:ascii="宋体" w:hAnsi="宋体" w:cs="Times New Roman" w:hint="eastAsia"/>
                <w:kern w:val="0"/>
                <w:sz w:val="24"/>
                <w:szCs w:val="24"/>
              </w:rPr>
              <w:t>核查</w:t>
            </w:r>
            <w:r>
              <w:rPr>
                <w:rFonts w:ascii="宋体" w:hAnsi="宋体" w:cs="Times New Roman" w:hint="eastAsia"/>
                <w:kern w:val="0"/>
                <w:sz w:val="24"/>
                <w:szCs w:val="24"/>
              </w:rPr>
              <w:t>和</w:t>
            </w:r>
            <w:r>
              <w:rPr>
                <w:rFonts w:ascii="宋体" w:hAnsi="宋体" w:cs="Times New Roman"/>
                <w:kern w:val="0"/>
                <w:sz w:val="24"/>
                <w:szCs w:val="24"/>
              </w:rPr>
              <w:t>执法</w:t>
            </w:r>
            <w:r>
              <w:rPr>
                <w:rFonts w:ascii="宋体" w:hAnsi="宋体" w:cs="Times New Roman" w:hint="eastAsia"/>
                <w:kern w:val="0"/>
                <w:sz w:val="24"/>
                <w:szCs w:val="24"/>
              </w:rPr>
              <w:t>力度，</w:t>
            </w:r>
            <w:r w:rsidRPr="00FA456F">
              <w:rPr>
                <w:rFonts w:ascii="宋体" w:hAnsi="宋体" w:cs="Times New Roman" w:hint="eastAsia"/>
                <w:kern w:val="0"/>
                <w:sz w:val="24"/>
                <w:szCs w:val="24"/>
              </w:rPr>
              <w:t>严肃查处统计违法行为。</w:t>
            </w:r>
            <w:r>
              <w:rPr>
                <w:rFonts w:ascii="宋体" w:hAnsi="宋体" w:cs="Times New Roman" w:hint="eastAsia"/>
                <w:kern w:val="0"/>
                <w:sz w:val="24"/>
                <w:szCs w:val="24"/>
              </w:rPr>
              <w:t>开展数据质量专业核查和</w:t>
            </w:r>
            <w:r w:rsidRPr="00FA456F">
              <w:rPr>
                <w:rFonts w:ascii="宋体" w:hAnsi="宋体" w:cs="Times New Roman" w:hint="eastAsia"/>
                <w:kern w:val="0"/>
                <w:sz w:val="24"/>
                <w:szCs w:val="24"/>
              </w:rPr>
              <w:t>统计执法“双随机”抽查</w:t>
            </w:r>
            <w:r>
              <w:rPr>
                <w:rFonts w:ascii="宋体" w:hAnsi="宋体" w:cs="Times New Roman" w:hint="eastAsia"/>
                <w:kern w:val="0"/>
                <w:sz w:val="24"/>
                <w:szCs w:val="24"/>
              </w:rPr>
              <w:t>，其</w:t>
            </w:r>
            <w:r>
              <w:rPr>
                <w:rFonts w:ascii="宋体" w:hAnsi="宋体" w:cs="Times New Roman"/>
                <w:kern w:val="0"/>
                <w:sz w:val="24"/>
                <w:szCs w:val="24"/>
              </w:rPr>
              <w:t>中数据</w:t>
            </w:r>
            <w:r>
              <w:rPr>
                <w:rFonts w:ascii="宋体" w:hAnsi="宋体" w:cs="Times New Roman" w:hint="eastAsia"/>
                <w:kern w:val="0"/>
                <w:sz w:val="24"/>
                <w:szCs w:val="24"/>
              </w:rPr>
              <w:t>质</w:t>
            </w:r>
            <w:r>
              <w:rPr>
                <w:rFonts w:ascii="宋体" w:hAnsi="宋体" w:cs="Times New Roman"/>
                <w:kern w:val="0"/>
                <w:sz w:val="24"/>
                <w:szCs w:val="24"/>
              </w:rPr>
              <w:t>量核查</w:t>
            </w:r>
            <w:r>
              <w:rPr>
                <w:rFonts w:ascii="宋体" w:hAnsi="宋体" w:cs="Times New Roman" w:hint="eastAsia"/>
                <w:kern w:val="0"/>
                <w:sz w:val="24"/>
                <w:szCs w:val="24"/>
              </w:rPr>
              <w:t>15家以</w:t>
            </w:r>
            <w:r>
              <w:rPr>
                <w:rFonts w:ascii="宋体" w:hAnsi="宋体" w:cs="Times New Roman"/>
                <w:kern w:val="0"/>
                <w:sz w:val="24"/>
                <w:szCs w:val="24"/>
              </w:rPr>
              <w:t>上，双随</w:t>
            </w:r>
            <w:r>
              <w:rPr>
                <w:rFonts w:ascii="宋体" w:hAnsi="宋体" w:cs="Times New Roman" w:hint="eastAsia"/>
                <w:kern w:val="0"/>
                <w:sz w:val="24"/>
                <w:szCs w:val="24"/>
              </w:rPr>
              <w:t>机</w:t>
            </w:r>
            <w:r>
              <w:rPr>
                <w:rFonts w:ascii="宋体" w:hAnsi="宋体" w:cs="Times New Roman"/>
                <w:kern w:val="0"/>
                <w:sz w:val="24"/>
                <w:szCs w:val="24"/>
              </w:rPr>
              <w:t>检查</w:t>
            </w:r>
            <w:r>
              <w:rPr>
                <w:rFonts w:ascii="宋体" w:hAnsi="宋体" w:cs="Times New Roman" w:hint="eastAsia"/>
                <w:kern w:val="0"/>
                <w:sz w:val="24"/>
                <w:szCs w:val="24"/>
              </w:rPr>
              <w:t>10家</w:t>
            </w:r>
            <w:r>
              <w:rPr>
                <w:rFonts w:ascii="宋体" w:hAnsi="宋体" w:cs="Times New Roman"/>
                <w:kern w:val="0"/>
                <w:sz w:val="24"/>
                <w:szCs w:val="24"/>
              </w:rPr>
              <w:t>以上。</w:t>
            </w:r>
          </w:p>
        </w:tc>
        <w:tc>
          <w:tcPr>
            <w:tcW w:w="1656" w:type="dxa"/>
            <w:vAlign w:val="center"/>
          </w:tcPr>
          <w:p w:rsidR="00A456EC" w:rsidRDefault="00A456EC">
            <w:pPr>
              <w:adjustRightInd w:val="0"/>
              <w:snapToGrid w:val="0"/>
              <w:spacing w:line="320" w:lineRule="exact"/>
              <w:rPr>
                <w:rFonts w:ascii="Times New Roman" w:hAnsi="Times New Roman" w:cs="Times New Roman"/>
                <w:kern w:val="0"/>
                <w:sz w:val="24"/>
                <w:szCs w:val="20"/>
              </w:rPr>
            </w:pPr>
            <w:r>
              <w:rPr>
                <w:rFonts w:ascii="宋体" w:hAnsi="宋体" w:cs="Times New Roman" w:hint="eastAsia"/>
                <w:sz w:val="24"/>
              </w:rPr>
              <w:t>0578-6058703</w:t>
            </w:r>
          </w:p>
        </w:tc>
      </w:tr>
      <w:tr w:rsidR="00A456EC" w:rsidTr="00AD3D68">
        <w:trPr>
          <w:trHeight w:val="3952"/>
        </w:trPr>
        <w:tc>
          <w:tcPr>
            <w:tcW w:w="868" w:type="dxa"/>
            <w:vAlign w:val="center"/>
          </w:tcPr>
          <w:p w:rsidR="00A456EC" w:rsidRDefault="00A456EC" w:rsidP="00A456EC">
            <w:pPr>
              <w:adjustRightInd w:val="0"/>
              <w:snapToGrid w:val="0"/>
              <w:spacing w:line="320" w:lineRule="exact"/>
              <w:jc w:val="center"/>
              <w:rPr>
                <w:rFonts w:ascii="仿宋_GB2312" w:eastAsia="仿宋_GB2312"/>
                <w:sz w:val="24"/>
                <w:szCs w:val="24"/>
              </w:rPr>
            </w:pPr>
            <w:r>
              <w:rPr>
                <w:rFonts w:ascii="仿宋_GB2312" w:eastAsia="仿宋_GB2312" w:hint="eastAsia"/>
                <w:sz w:val="24"/>
                <w:szCs w:val="24"/>
              </w:rPr>
              <w:t>14</w:t>
            </w:r>
          </w:p>
        </w:tc>
        <w:tc>
          <w:tcPr>
            <w:tcW w:w="1701" w:type="dxa"/>
            <w:vAlign w:val="center"/>
          </w:tcPr>
          <w:p w:rsidR="00A456EC" w:rsidRPr="00AD3D68" w:rsidRDefault="00A456EC" w:rsidP="00F8448C">
            <w:pPr>
              <w:snapToGrid w:val="0"/>
              <w:spacing w:line="300" w:lineRule="exact"/>
              <w:rPr>
                <w:rFonts w:cs="Times New Roman"/>
                <w:color w:val="000000" w:themeColor="text1"/>
                <w:sz w:val="24"/>
              </w:rPr>
            </w:pPr>
            <w:r w:rsidRPr="00AD3D68">
              <w:rPr>
                <w:rFonts w:cs="Times New Roman" w:hint="eastAsia"/>
                <w:color w:val="000000" w:themeColor="text1"/>
                <w:sz w:val="24"/>
              </w:rPr>
              <w:t>县</w:t>
            </w:r>
            <w:r>
              <w:rPr>
                <w:rFonts w:cs="Times New Roman" w:hint="eastAsia"/>
                <w:color w:val="000000" w:themeColor="text1"/>
                <w:sz w:val="24"/>
              </w:rPr>
              <w:t>医疗保障</w:t>
            </w:r>
            <w:r w:rsidRPr="00AD3D68">
              <w:rPr>
                <w:rFonts w:cs="Times New Roman" w:hint="eastAsia"/>
                <w:color w:val="000000" w:themeColor="text1"/>
                <w:sz w:val="24"/>
              </w:rPr>
              <w:t>局</w:t>
            </w:r>
          </w:p>
        </w:tc>
        <w:tc>
          <w:tcPr>
            <w:tcW w:w="1559" w:type="dxa"/>
            <w:vAlign w:val="center"/>
          </w:tcPr>
          <w:p w:rsidR="00A456EC" w:rsidRPr="00AD3D68" w:rsidRDefault="00A456EC">
            <w:pPr>
              <w:snapToGrid w:val="0"/>
              <w:spacing w:line="300" w:lineRule="exact"/>
              <w:rPr>
                <w:rFonts w:cs="Times New Roman"/>
                <w:color w:val="000000" w:themeColor="text1"/>
                <w:sz w:val="24"/>
              </w:rPr>
            </w:pPr>
            <w:r w:rsidRPr="00AD3D68">
              <w:rPr>
                <w:rFonts w:cs="Times New Roman" w:hint="eastAsia"/>
                <w:color w:val="000000" w:themeColor="text1"/>
                <w:sz w:val="24"/>
              </w:rPr>
              <w:t>困难群众基本医疗保障行动</w:t>
            </w:r>
          </w:p>
        </w:tc>
        <w:tc>
          <w:tcPr>
            <w:tcW w:w="8222" w:type="dxa"/>
            <w:vAlign w:val="center"/>
          </w:tcPr>
          <w:p w:rsidR="00A456EC" w:rsidRPr="00D83D02" w:rsidRDefault="00A456EC" w:rsidP="00D83D02">
            <w:pPr>
              <w:adjustRightInd w:val="0"/>
              <w:snapToGrid w:val="0"/>
              <w:spacing w:line="320" w:lineRule="exact"/>
              <w:jc w:val="left"/>
              <w:rPr>
                <w:rFonts w:ascii="宋体" w:hAnsi="宋体" w:cs="Times New Roman"/>
                <w:kern w:val="0"/>
                <w:sz w:val="24"/>
                <w:szCs w:val="24"/>
              </w:rPr>
            </w:pPr>
            <w:r>
              <w:rPr>
                <w:rFonts w:ascii="宋体" w:hAnsi="宋体" w:cs="Times New Roman" w:hint="eastAsia"/>
                <w:kern w:val="0"/>
                <w:sz w:val="24"/>
                <w:szCs w:val="24"/>
              </w:rPr>
              <w:t>1.</w:t>
            </w:r>
            <w:r w:rsidRPr="00D83D02">
              <w:rPr>
                <w:rFonts w:ascii="宋体" w:hAnsi="宋体" w:cs="Times New Roman" w:hint="eastAsia"/>
                <w:kern w:val="0"/>
                <w:sz w:val="24"/>
                <w:szCs w:val="24"/>
              </w:rPr>
              <w:t>加强医疗救助工作队伍建设，抓好业务培训，提高业务人员工作能力，计划于2019年9月组织召开业务培训会，并开展测试</w:t>
            </w:r>
            <w:r>
              <w:rPr>
                <w:rFonts w:ascii="宋体" w:hAnsi="宋体" w:cs="Times New Roman" w:hint="eastAsia"/>
                <w:kern w:val="0"/>
                <w:sz w:val="24"/>
                <w:szCs w:val="24"/>
              </w:rPr>
              <w:t>。</w:t>
            </w:r>
            <w:r w:rsidRPr="00D83D02">
              <w:rPr>
                <w:rFonts w:ascii="宋体" w:hAnsi="宋体" w:cs="Times New Roman" w:hint="eastAsia"/>
                <w:kern w:val="0"/>
                <w:sz w:val="24"/>
                <w:szCs w:val="24"/>
              </w:rPr>
              <w:t xml:space="preserve">                                    2.加强医疗救助政策宣传，制作业务培训课件，供各乡镇街道组织乡村和驻村干部政策培训使用，利用微信公众号进行政策发布，疑问解答等，有效提高医疗救助政策知晓率</w:t>
            </w:r>
            <w:r>
              <w:rPr>
                <w:rFonts w:ascii="宋体" w:hAnsi="宋体" w:cs="Times New Roman" w:hint="eastAsia"/>
                <w:kern w:val="0"/>
                <w:sz w:val="24"/>
                <w:szCs w:val="24"/>
              </w:rPr>
              <w:t>。</w:t>
            </w:r>
          </w:p>
          <w:p w:rsidR="00A456EC" w:rsidRPr="00D83D02" w:rsidRDefault="00A456EC" w:rsidP="00D83D02">
            <w:pPr>
              <w:adjustRightInd w:val="0"/>
              <w:snapToGrid w:val="0"/>
              <w:spacing w:line="320" w:lineRule="exact"/>
              <w:jc w:val="left"/>
              <w:rPr>
                <w:rFonts w:ascii="宋体" w:hAnsi="宋体" w:cs="Times New Roman"/>
                <w:kern w:val="0"/>
                <w:sz w:val="24"/>
                <w:szCs w:val="24"/>
              </w:rPr>
            </w:pPr>
            <w:r w:rsidRPr="00D83D02">
              <w:rPr>
                <w:rFonts w:ascii="宋体" w:hAnsi="宋体" w:cs="Times New Roman" w:hint="eastAsia"/>
                <w:kern w:val="0"/>
                <w:sz w:val="24"/>
                <w:szCs w:val="24"/>
              </w:rPr>
              <w:t>3.加强困难群众资助参保，与民政等相关部门实现数据实时更新传送，确保新增困难人员参保及时得到资助，实现符合条件的困难群众资助参保应保尽保。</w:t>
            </w:r>
          </w:p>
          <w:p w:rsidR="00A456EC" w:rsidRDefault="00A456EC" w:rsidP="00D83D02">
            <w:pPr>
              <w:adjustRightInd w:val="0"/>
              <w:snapToGrid w:val="0"/>
              <w:spacing w:line="320" w:lineRule="exact"/>
              <w:jc w:val="left"/>
              <w:rPr>
                <w:sz w:val="24"/>
              </w:rPr>
            </w:pPr>
            <w:r w:rsidRPr="00D83D02">
              <w:rPr>
                <w:rFonts w:ascii="宋体" w:hAnsi="宋体" w:cs="Times New Roman" w:hint="eastAsia"/>
                <w:kern w:val="0"/>
                <w:sz w:val="24"/>
                <w:szCs w:val="24"/>
              </w:rPr>
              <w:t>4.全面落实医疗救助、大病保险、慢性病门诊保障等相关政策和制度，3月底在丽水市内定点医疗机构就诊已实现基本医疗、大病保险、医疗救助“一站式”结算。7月1日起，在基层医疗机构就诊的慢病患者待遇再提高20%。</w:t>
            </w:r>
          </w:p>
        </w:tc>
        <w:tc>
          <w:tcPr>
            <w:tcW w:w="1656" w:type="dxa"/>
            <w:vAlign w:val="center"/>
          </w:tcPr>
          <w:p w:rsidR="00A456EC" w:rsidRDefault="00A456EC">
            <w:pPr>
              <w:adjustRightInd w:val="0"/>
              <w:snapToGrid w:val="0"/>
              <w:spacing w:line="320" w:lineRule="exact"/>
              <w:rPr>
                <w:rFonts w:ascii="宋体" w:hAnsi="宋体" w:cs="Times New Roman"/>
                <w:sz w:val="24"/>
              </w:rPr>
            </w:pPr>
            <w:r>
              <w:rPr>
                <w:rFonts w:ascii="宋体" w:hAnsi="宋体" w:cs="Times New Roman" w:hint="eastAsia"/>
                <w:sz w:val="24"/>
              </w:rPr>
              <w:t>0578-6220089</w:t>
            </w:r>
          </w:p>
        </w:tc>
      </w:tr>
    </w:tbl>
    <w:p w:rsidR="007266FF" w:rsidRDefault="007266FF">
      <w:pPr>
        <w:rPr>
          <w:rFonts w:ascii="仿宋_GB2312" w:eastAsia="仿宋_GB2312"/>
          <w:sz w:val="32"/>
          <w:szCs w:val="32"/>
        </w:rPr>
      </w:pPr>
    </w:p>
    <w:sectPr w:rsidR="007266FF" w:rsidSect="00AA22F5">
      <w:footerReference w:type="default" r:id="rId8"/>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8A" w:rsidRDefault="007B0E8A" w:rsidP="007266FF">
      <w:r>
        <w:separator/>
      </w:r>
    </w:p>
  </w:endnote>
  <w:endnote w:type="continuationSeparator" w:id="1">
    <w:p w:rsidR="007B0E8A" w:rsidRDefault="007B0E8A" w:rsidP="00726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FF" w:rsidRDefault="00E602C0">
    <w:pPr>
      <w:pStyle w:val="a3"/>
      <w:jc w:val="center"/>
    </w:pPr>
    <w:r>
      <w:rPr>
        <w:sz w:val="28"/>
        <w:szCs w:val="28"/>
      </w:rPr>
      <w:fldChar w:fldCharType="begin"/>
    </w:r>
    <w:r w:rsidR="00C56961">
      <w:rPr>
        <w:sz w:val="28"/>
        <w:szCs w:val="28"/>
      </w:rPr>
      <w:instrText xml:space="preserve"> PAGE   \* MERGEFORMAT </w:instrText>
    </w:r>
    <w:r>
      <w:rPr>
        <w:sz w:val="28"/>
        <w:szCs w:val="28"/>
      </w:rPr>
      <w:fldChar w:fldCharType="separate"/>
    </w:r>
    <w:r w:rsidR="00187A2D" w:rsidRPr="00187A2D">
      <w:rPr>
        <w:noProof/>
        <w:sz w:val="28"/>
        <w:szCs w:val="28"/>
        <w:lang w:val="zh-CN"/>
      </w:rPr>
      <w:t>-</w:t>
    </w:r>
    <w:r w:rsidR="00187A2D">
      <w:rPr>
        <w:noProof/>
        <w:sz w:val="28"/>
        <w:szCs w:val="28"/>
      </w:rPr>
      <w:t xml:space="preserve"> 1 -</w:t>
    </w:r>
    <w:r>
      <w:rPr>
        <w:sz w:val="28"/>
        <w:szCs w:val="28"/>
      </w:rPr>
      <w:fldChar w:fldCharType="end"/>
    </w:r>
  </w:p>
  <w:p w:rsidR="007266FF" w:rsidRDefault="007266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8A" w:rsidRDefault="007B0E8A" w:rsidP="007266FF">
      <w:r>
        <w:separator/>
      </w:r>
    </w:p>
  </w:footnote>
  <w:footnote w:type="continuationSeparator" w:id="1">
    <w:p w:rsidR="007B0E8A" w:rsidRDefault="007B0E8A" w:rsidP="00726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4BF8B7"/>
    <w:multiLevelType w:val="singleLevel"/>
    <w:tmpl w:val="FD4BF8B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D61"/>
    <w:rsid w:val="00006B45"/>
    <w:rsid w:val="00011E5D"/>
    <w:rsid w:val="00021620"/>
    <w:rsid w:val="000356E0"/>
    <w:rsid w:val="000B1B08"/>
    <w:rsid w:val="00145980"/>
    <w:rsid w:val="0015156D"/>
    <w:rsid w:val="00161A21"/>
    <w:rsid w:val="0017328D"/>
    <w:rsid w:val="00187A2D"/>
    <w:rsid w:val="001F48CB"/>
    <w:rsid w:val="001F79BE"/>
    <w:rsid w:val="00225C83"/>
    <w:rsid w:val="00225E60"/>
    <w:rsid w:val="0025306D"/>
    <w:rsid w:val="00267ED5"/>
    <w:rsid w:val="002748B3"/>
    <w:rsid w:val="00275830"/>
    <w:rsid w:val="00295B16"/>
    <w:rsid w:val="00310D55"/>
    <w:rsid w:val="00314F36"/>
    <w:rsid w:val="003A6B7E"/>
    <w:rsid w:val="003B3223"/>
    <w:rsid w:val="004460CF"/>
    <w:rsid w:val="004639BA"/>
    <w:rsid w:val="004F034C"/>
    <w:rsid w:val="005101C1"/>
    <w:rsid w:val="00520690"/>
    <w:rsid w:val="00525B62"/>
    <w:rsid w:val="00532290"/>
    <w:rsid w:val="00536A63"/>
    <w:rsid w:val="005516D0"/>
    <w:rsid w:val="00564E82"/>
    <w:rsid w:val="0059601B"/>
    <w:rsid w:val="005A7DC8"/>
    <w:rsid w:val="00656F00"/>
    <w:rsid w:val="006605C3"/>
    <w:rsid w:val="006E1F8C"/>
    <w:rsid w:val="006E498E"/>
    <w:rsid w:val="006F73C6"/>
    <w:rsid w:val="00710D61"/>
    <w:rsid w:val="00723245"/>
    <w:rsid w:val="007266FF"/>
    <w:rsid w:val="00743B0E"/>
    <w:rsid w:val="00794890"/>
    <w:rsid w:val="007B0E8A"/>
    <w:rsid w:val="007B4CB4"/>
    <w:rsid w:val="007D2BFD"/>
    <w:rsid w:val="007E71A6"/>
    <w:rsid w:val="007F0376"/>
    <w:rsid w:val="00800EE3"/>
    <w:rsid w:val="008649EE"/>
    <w:rsid w:val="008E4FA5"/>
    <w:rsid w:val="008F2B46"/>
    <w:rsid w:val="008F4CC2"/>
    <w:rsid w:val="009146DA"/>
    <w:rsid w:val="00923B77"/>
    <w:rsid w:val="009909A0"/>
    <w:rsid w:val="00993948"/>
    <w:rsid w:val="009A32D3"/>
    <w:rsid w:val="009E0FA3"/>
    <w:rsid w:val="00A41EF8"/>
    <w:rsid w:val="00A449C3"/>
    <w:rsid w:val="00A456EC"/>
    <w:rsid w:val="00A878F4"/>
    <w:rsid w:val="00AA22F5"/>
    <w:rsid w:val="00AB4AC6"/>
    <w:rsid w:val="00AD3D68"/>
    <w:rsid w:val="00AE4138"/>
    <w:rsid w:val="00B30587"/>
    <w:rsid w:val="00B375A0"/>
    <w:rsid w:val="00B5718D"/>
    <w:rsid w:val="00B7225D"/>
    <w:rsid w:val="00BA1648"/>
    <w:rsid w:val="00BC0B97"/>
    <w:rsid w:val="00BC60EA"/>
    <w:rsid w:val="00C56961"/>
    <w:rsid w:val="00C64FC9"/>
    <w:rsid w:val="00CD0F62"/>
    <w:rsid w:val="00CF6EAA"/>
    <w:rsid w:val="00D0397B"/>
    <w:rsid w:val="00D31CAF"/>
    <w:rsid w:val="00D45C66"/>
    <w:rsid w:val="00D55FEE"/>
    <w:rsid w:val="00D83D02"/>
    <w:rsid w:val="00D8786B"/>
    <w:rsid w:val="00D94B87"/>
    <w:rsid w:val="00DC3DE8"/>
    <w:rsid w:val="00DD5A21"/>
    <w:rsid w:val="00DE6CC5"/>
    <w:rsid w:val="00E064B5"/>
    <w:rsid w:val="00E339C7"/>
    <w:rsid w:val="00E44B26"/>
    <w:rsid w:val="00E44F3F"/>
    <w:rsid w:val="00E602C0"/>
    <w:rsid w:val="00E844FD"/>
    <w:rsid w:val="00EA4C57"/>
    <w:rsid w:val="00ED1FAB"/>
    <w:rsid w:val="00F516FB"/>
    <w:rsid w:val="00F533E3"/>
    <w:rsid w:val="00F8448C"/>
    <w:rsid w:val="00FB65A8"/>
    <w:rsid w:val="00FC60EF"/>
    <w:rsid w:val="00FC6BB6"/>
    <w:rsid w:val="0FD04128"/>
    <w:rsid w:val="116F2591"/>
    <w:rsid w:val="320A6636"/>
    <w:rsid w:val="33261236"/>
    <w:rsid w:val="517848DD"/>
    <w:rsid w:val="723B7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F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66FF"/>
    <w:pPr>
      <w:tabs>
        <w:tab w:val="center" w:pos="4153"/>
        <w:tab w:val="right" w:pos="8306"/>
      </w:tabs>
      <w:snapToGrid w:val="0"/>
      <w:jc w:val="left"/>
    </w:pPr>
    <w:rPr>
      <w:sz w:val="18"/>
      <w:szCs w:val="18"/>
    </w:rPr>
  </w:style>
  <w:style w:type="paragraph" w:styleId="a4">
    <w:name w:val="header"/>
    <w:basedOn w:val="a"/>
    <w:link w:val="Char0"/>
    <w:uiPriority w:val="99"/>
    <w:unhideWhenUsed/>
    <w:rsid w:val="007266F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unhideWhenUsed/>
    <w:qFormat/>
    <w:rsid w:val="007266FF"/>
    <w:pPr>
      <w:ind w:firstLineChars="200" w:firstLine="420"/>
    </w:pPr>
    <w:rPr>
      <w:rFonts w:ascii="Times New Roman" w:hAnsi="Times New Roman" w:cs="Times New Roman"/>
      <w:szCs w:val="24"/>
    </w:rPr>
  </w:style>
  <w:style w:type="character" w:customStyle="1" w:styleId="Char0">
    <w:name w:val="页眉 Char"/>
    <w:basedOn w:val="a0"/>
    <w:link w:val="a4"/>
    <w:uiPriority w:val="99"/>
    <w:semiHidden/>
    <w:rsid w:val="007266FF"/>
    <w:rPr>
      <w:sz w:val="18"/>
      <w:szCs w:val="18"/>
    </w:rPr>
  </w:style>
  <w:style w:type="character" w:customStyle="1" w:styleId="Char">
    <w:name w:val="页脚 Char"/>
    <w:basedOn w:val="a0"/>
    <w:link w:val="a3"/>
    <w:uiPriority w:val="99"/>
    <w:rsid w:val="007266F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566</Words>
  <Characters>3232</Characters>
  <Application>Microsoft Office Word</Application>
  <DocSecurity>0</DocSecurity>
  <Lines>26</Lines>
  <Paragraphs>7</Paragraphs>
  <ScaleCrop>false</ScaleCrop>
  <Company>微软中国</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庆元县扶贫民生领域不正之风和侵害群众利益问题集中整治项目表</dc:title>
  <dc:creator>微软用户</dc:creator>
  <cp:lastModifiedBy>admin</cp:lastModifiedBy>
  <cp:revision>2</cp:revision>
  <cp:lastPrinted>2019-09-17T03:17:00Z</cp:lastPrinted>
  <dcterms:created xsi:type="dcterms:W3CDTF">2019-09-17T06:58:00Z</dcterms:created>
  <dcterms:modified xsi:type="dcterms:W3CDTF">2019-09-17T06:58:00Z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