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44"/>
        </w:rPr>
      </w:pPr>
      <w:r>
        <w:rPr>
          <w:rFonts w:hint="eastAsia" w:ascii="宋体" w:hAnsi="宋体"/>
          <w:b/>
          <w:bCs/>
          <w:sz w:val="44"/>
          <w:szCs w:val="44"/>
        </w:rPr>
        <w:t>湖州市福利彩票投注站常态化</w:t>
      </w:r>
    </w:p>
    <w:p>
      <w:pPr>
        <w:jc w:val="center"/>
        <w:rPr>
          <w:rFonts w:ascii="宋体" w:hAnsi="宋体"/>
          <w:b/>
          <w:bCs/>
          <w:sz w:val="44"/>
          <w:szCs w:val="44"/>
        </w:rPr>
      </w:pPr>
      <w:r>
        <w:rPr>
          <w:rFonts w:hint="eastAsia" w:ascii="宋体" w:hAnsi="宋体"/>
          <w:b/>
          <w:bCs/>
          <w:sz w:val="44"/>
          <w:szCs w:val="44"/>
        </w:rPr>
        <w:t>公开征召实施细则</w:t>
      </w:r>
    </w:p>
    <w:p>
      <w:pPr>
        <w:jc w:val="center"/>
        <w:rPr>
          <w:rFonts w:ascii="宋体" w:hAnsi="宋体"/>
          <w:b/>
          <w:bCs/>
          <w:sz w:val="44"/>
          <w:szCs w:val="44"/>
        </w:rPr>
      </w:pPr>
    </w:p>
    <w:p>
      <w:pPr>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rPr>
        <w:t>为深入推进“阳光福彩”工程建设，树立福利彩票“公开、公正、公平、公信”的良好形象，根据《彩票管理条例》及其《实施细则》相关规定</w:t>
      </w:r>
      <w:r>
        <w:rPr>
          <w:rFonts w:hint="eastAsia" w:ascii="仿宋" w:hAnsi="仿宋" w:eastAsia="仿宋"/>
          <w:sz w:val="32"/>
          <w:szCs w:val="32"/>
        </w:rPr>
        <w:t>和浙江省福利彩票</w:t>
      </w:r>
      <w:r>
        <w:rPr>
          <w:rFonts w:hint="eastAsia" w:ascii="仿宋" w:hAnsi="仿宋" w:eastAsia="仿宋"/>
          <w:sz w:val="32"/>
          <w:szCs w:val="32"/>
          <w:lang w:eastAsia="zh-CN"/>
        </w:rPr>
        <w:t>管理中心</w:t>
      </w:r>
      <w:r>
        <w:rPr>
          <w:rFonts w:hint="eastAsia" w:ascii="仿宋" w:hAnsi="仿宋" w:eastAsia="仿宋"/>
          <w:sz w:val="32"/>
          <w:szCs w:val="32"/>
        </w:rPr>
        <w:t>《关于全面开展福彩投注站常态化公开征召的实施意见》文件精神</w:t>
      </w:r>
      <w:r>
        <w:rPr>
          <w:rFonts w:ascii="仿宋" w:hAnsi="仿宋" w:eastAsia="仿宋"/>
          <w:sz w:val="32"/>
          <w:szCs w:val="32"/>
        </w:rPr>
        <w:t>，结合我市社会、经济的发展和福利彩票</w:t>
      </w:r>
      <w:r>
        <w:rPr>
          <w:rFonts w:hint="eastAsia" w:ascii="仿宋" w:hAnsi="仿宋" w:eastAsia="仿宋"/>
          <w:sz w:val="32"/>
          <w:szCs w:val="32"/>
        </w:rPr>
        <w:t>销售</w:t>
      </w:r>
      <w:r>
        <w:rPr>
          <w:rFonts w:ascii="仿宋" w:hAnsi="仿宋" w:eastAsia="仿宋"/>
          <w:sz w:val="32"/>
          <w:szCs w:val="32"/>
        </w:rPr>
        <w:t>管理的实际</w:t>
      </w:r>
      <w:r>
        <w:rPr>
          <w:rFonts w:ascii="仿宋" w:hAnsi="仿宋" w:eastAsia="仿宋"/>
          <w:sz w:val="32"/>
          <w:szCs w:val="32"/>
          <w:highlight w:val="none"/>
        </w:rPr>
        <w:t>情况，</w:t>
      </w:r>
      <w:r>
        <w:rPr>
          <w:rFonts w:hint="eastAsia" w:ascii="仿宋" w:hAnsi="仿宋" w:eastAsia="仿宋" w:cs="仿宋"/>
          <w:sz w:val="32"/>
          <w:szCs w:val="32"/>
          <w:highlight w:val="none"/>
        </w:rPr>
        <w:t>现就全面开展我市福利彩票投注站（以下简称投注站）常态化公开征召工作制定本细则。</w:t>
      </w:r>
    </w:p>
    <w:p>
      <w:pPr>
        <w:spacing w:line="360" w:lineRule="auto"/>
        <w:ind w:firstLine="600"/>
        <w:rPr>
          <w:rFonts w:ascii="仿宋" w:hAnsi="仿宋" w:eastAsia="仿宋"/>
          <w:b/>
          <w:sz w:val="30"/>
          <w:szCs w:val="30"/>
          <w:highlight w:val="none"/>
        </w:rPr>
      </w:pPr>
      <w:r>
        <w:rPr>
          <w:rFonts w:hint="eastAsia" w:ascii="仿宋" w:hAnsi="仿宋" w:eastAsia="仿宋"/>
          <w:b/>
          <w:sz w:val="30"/>
          <w:szCs w:val="30"/>
          <w:highlight w:val="none"/>
        </w:rPr>
        <w:t>一、工作目标</w:t>
      </w:r>
    </w:p>
    <w:p>
      <w:pPr>
        <w:spacing w:line="360" w:lineRule="auto"/>
        <w:ind w:firstLine="600"/>
        <w:rPr>
          <w:rFonts w:ascii="仿宋" w:hAnsi="仿宋" w:eastAsia="仿宋"/>
          <w:sz w:val="32"/>
          <w:szCs w:val="32"/>
          <w:highlight w:val="none"/>
        </w:rPr>
      </w:pPr>
      <w:r>
        <w:rPr>
          <w:rFonts w:hint="eastAsia" w:ascii="仿宋" w:hAnsi="仿宋" w:eastAsia="仿宋"/>
          <w:sz w:val="30"/>
          <w:szCs w:val="30"/>
          <w:highlight w:val="none"/>
        </w:rPr>
        <w:t>按照“统筹规划、合理布局、公开公正、规范透明，从优选择、兼顾公益”的基本原则，充分发挥市场在资源配置中的决定性作用，实现投注站布设从阶段性公开定点投放转为常态化公开征召，</w:t>
      </w:r>
      <w:r>
        <w:rPr>
          <w:rFonts w:hint="eastAsia" w:ascii="仿宋" w:hAnsi="仿宋" w:eastAsia="仿宋"/>
          <w:sz w:val="32"/>
          <w:szCs w:val="32"/>
          <w:highlight w:val="none"/>
        </w:rPr>
        <w:t>凡</w:t>
      </w:r>
      <w:r>
        <w:rPr>
          <w:rFonts w:hint="eastAsia" w:ascii="仿宋" w:hAnsi="仿宋" w:eastAsia="仿宋" w:cs="仿宋_GB2312"/>
          <w:sz w:val="32"/>
          <w:szCs w:val="32"/>
          <w:highlight w:val="none"/>
        </w:rPr>
        <w:t>符合条件并有意愿代销福利彩票的个人和单位，皆可依照规定程序提出代销申请并获得代销资格。</w:t>
      </w:r>
    </w:p>
    <w:p>
      <w:pPr>
        <w:spacing w:line="360" w:lineRule="auto"/>
        <w:ind w:firstLine="600"/>
        <w:rPr>
          <w:rFonts w:ascii="仿宋" w:hAnsi="仿宋" w:eastAsia="仿宋"/>
          <w:b/>
          <w:sz w:val="30"/>
          <w:szCs w:val="30"/>
          <w:highlight w:val="none"/>
        </w:rPr>
      </w:pPr>
      <w:r>
        <w:rPr>
          <w:rFonts w:hint="eastAsia" w:ascii="仿宋" w:hAnsi="仿宋" w:eastAsia="仿宋"/>
          <w:b/>
          <w:sz w:val="30"/>
          <w:szCs w:val="30"/>
          <w:highlight w:val="none"/>
        </w:rPr>
        <w:t>二、网点规划</w:t>
      </w:r>
    </w:p>
    <w:p>
      <w:pPr>
        <w:spacing w:line="360" w:lineRule="auto"/>
        <w:ind w:firstLine="600"/>
        <w:rPr>
          <w:rFonts w:ascii="仿宋" w:hAnsi="仿宋" w:eastAsia="仿宋"/>
          <w:sz w:val="30"/>
          <w:szCs w:val="30"/>
          <w:highlight w:val="none"/>
        </w:rPr>
      </w:pPr>
      <w:r>
        <w:rPr>
          <w:rFonts w:hint="eastAsia" w:ascii="仿宋" w:hAnsi="仿宋" w:eastAsia="仿宋"/>
          <w:sz w:val="30"/>
          <w:szCs w:val="30"/>
          <w:highlight w:val="none"/>
        </w:rPr>
        <w:t>根据人口数量、经济社会发展的实际情况，我市福彩网点的规划发展以市场覆盖面和购买便利性为原则，兼顾城市和乡村地区人群的购买需求，在保持投注站之间合理距离的基础上努力实现全市城乡全覆盖。</w:t>
      </w:r>
    </w:p>
    <w:p>
      <w:pPr>
        <w:pStyle w:val="7"/>
        <w:adjustRightInd w:val="0"/>
        <w:snapToGrid w:val="0"/>
        <w:spacing w:beforeAutospacing="0" w:afterAutospacing="0" w:line="360" w:lineRule="auto"/>
        <w:ind w:firstLine="642" w:firstLineChars="200"/>
        <w:rPr>
          <w:rFonts w:ascii="仿宋" w:hAnsi="仿宋" w:eastAsia="仿宋" w:cs="黑体"/>
          <w:b/>
          <w:kern w:val="2"/>
          <w:sz w:val="32"/>
          <w:szCs w:val="32"/>
          <w:highlight w:val="none"/>
        </w:rPr>
      </w:pPr>
      <w:r>
        <w:rPr>
          <w:rFonts w:hint="eastAsia" w:ascii="仿宋" w:hAnsi="仿宋" w:eastAsia="仿宋" w:cs="黑体"/>
          <w:b/>
          <w:kern w:val="2"/>
          <w:sz w:val="32"/>
          <w:szCs w:val="32"/>
          <w:highlight w:val="none"/>
        </w:rPr>
        <w:t>三、申办条件</w:t>
      </w:r>
    </w:p>
    <w:p>
      <w:pPr>
        <w:pStyle w:val="7"/>
        <w:adjustRightInd w:val="0"/>
        <w:snapToGrid w:val="0"/>
        <w:spacing w:beforeAutospacing="0" w:afterAutospacing="0" w:line="360" w:lineRule="auto"/>
        <w:ind w:firstLine="629" w:firstLineChars="196"/>
        <w:rPr>
          <w:rFonts w:ascii="仿宋" w:hAnsi="仿宋" w:eastAsia="仿宋" w:cs="Times New Roman"/>
          <w:b/>
          <w:bCs/>
          <w:kern w:val="2"/>
          <w:sz w:val="32"/>
          <w:szCs w:val="32"/>
          <w:highlight w:val="none"/>
        </w:rPr>
      </w:pPr>
      <w:r>
        <w:rPr>
          <w:rFonts w:hint="eastAsia" w:ascii="仿宋" w:hAnsi="仿宋" w:eastAsia="仿宋" w:cs="Times New Roman"/>
          <w:b/>
          <w:bCs/>
          <w:kern w:val="2"/>
          <w:sz w:val="32"/>
          <w:szCs w:val="32"/>
          <w:highlight w:val="none"/>
          <w:lang w:eastAsia="zh-CN"/>
        </w:rPr>
        <w:t>（一）</w:t>
      </w:r>
      <w:r>
        <w:rPr>
          <w:rFonts w:ascii="仿宋" w:hAnsi="仿宋" w:eastAsia="仿宋" w:cs="Times New Roman"/>
          <w:b/>
          <w:bCs/>
          <w:kern w:val="2"/>
          <w:sz w:val="32"/>
          <w:szCs w:val="32"/>
          <w:highlight w:val="none"/>
        </w:rPr>
        <w:t>申</w:t>
      </w:r>
      <w:r>
        <w:rPr>
          <w:rFonts w:hint="eastAsia" w:ascii="仿宋" w:hAnsi="仿宋" w:eastAsia="仿宋" w:cs="Times New Roman"/>
          <w:b/>
          <w:bCs/>
          <w:kern w:val="2"/>
          <w:sz w:val="32"/>
          <w:szCs w:val="32"/>
          <w:highlight w:val="none"/>
        </w:rPr>
        <w:t>办人条件</w:t>
      </w:r>
    </w:p>
    <w:p>
      <w:pPr>
        <w:pStyle w:val="7"/>
        <w:adjustRightInd w:val="0"/>
        <w:snapToGrid w:val="0"/>
        <w:spacing w:beforeAutospacing="0" w:afterAutospacing="0" w:line="360" w:lineRule="auto"/>
        <w:ind w:firstLine="640" w:firstLineChars="200"/>
        <w:rPr>
          <w:rFonts w:ascii="仿宋" w:hAnsi="仿宋" w:eastAsia="仿宋" w:cs="Times New Roman"/>
          <w:bCs/>
          <w:kern w:val="2"/>
          <w:sz w:val="32"/>
          <w:szCs w:val="32"/>
          <w:highlight w:val="none"/>
        </w:rPr>
      </w:pPr>
      <w:r>
        <w:rPr>
          <w:rFonts w:hint="eastAsia" w:ascii="仿宋" w:hAnsi="仿宋" w:eastAsia="仿宋" w:cs="仿宋_GB2312"/>
          <w:sz w:val="32"/>
          <w:szCs w:val="32"/>
          <w:highlight w:val="none"/>
        </w:rPr>
        <w:t>（1）</w:t>
      </w:r>
      <w:r>
        <w:rPr>
          <w:rFonts w:ascii="仿宋" w:hAnsi="仿宋" w:eastAsia="仿宋" w:cs="Arial"/>
          <w:color w:val="333333"/>
          <w:sz w:val="32"/>
          <w:szCs w:val="32"/>
          <w:highlight w:val="none"/>
        </w:rPr>
        <w:t>年满18</w:t>
      </w:r>
      <w:r>
        <w:rPr>
          <w:rFonts w:hint="eastAsia" w:ascii="仿宋" w:hAnsi="仿宋" w:eastAsia="仿宋" w:cs="Arial"/>
          <w:color w:val="333333"/>
          <w:sz w:val="32"/>
          <w:szCs w:val="32"/>
          <w:highlight w:val="none"/>
        </w:rPr>
        <w:t>至60</w:t>
      </w:r>
      <w:r>
        <w:rPr>
          <w:rFonts w:ascii="仿宋" w:hAnsi="仿宋" w:eastAsia="仿宋" w:cs="Arial"/>
          <w:color w:val="333333"/>
          <w:sz w:val="32"/>
          <w:szCs w:val="32"/>
          <w:highlight w:val="none"/>
        </w:rPr>
        <w:t>周岁且具有完全</w:t>
      </w:r>
      <w:r>
        <w:rPr>
          <w:highlight w:val="none"/>
        </w:rPr>
        <w:fldChar w:fldCharType="begin"/>
      </w:r>
      <w:r>
        <w:rPr>
          <w:highlight w:val="none"/>
        </w:rPr>
        <w:instrText xml:space="preserve"> HYPERLINK "https://baike.so.com/doc/163956-173256.html" \t "_blank" </w:instrText>
      </w:r>
      <w:r>
        <w:rPr>
          <w:highlight w:val="none"/>
        </w:rPr>
        <w:fldChar w:fldCharType="separate"/>
      </w:r>
      <w:r>
        <w:rPr>
          <w:rStyle w:val="10"/>
          <w:rFonts w:ascii="仿宋" w:hAnsi="仿宋" w:eastAsia="仿宋" w:cs="Arial"/>
          <w:color w:val="000000" w:themeColor="text1"/>
          <w:sz w:val="32"/>
          <w:szCs w:val="32"/>
          <w:highlight w:val="none"/>
          <w:u w:val="none"/>
        </w:rPr>
        <w:t>民事行为能力</w:t>
      </w:r>
      <w:r>
        <w:rPr>
          <w:rStyle w:val="10"/>
          <w:rFonts w:ascii="仿宋" w:hAnsi="仿宋" w:eastAsia="仿宋" w:cs="Arial"/>
          <w:color w:val="000000" w:themeColor="text1"/>
          <w:sz w:val="32"/>
          <w:szCs w:val="32"/>
          <w:highlight w:val="none"/>
          <w:u w:val="none"/>
        </w:rPr>
        <w:fldChar w:fldCharType="end"/>
      </w:r>
      <w:r>
        <w:rPr>
          <w:rFonts w:ascii="仿宋" w:hAnsi="仿宋" w:eastAsia="仿宋" w:cs="Arial"/>
          <w:color w:val="333333"/>
          <w:sz w:val="32"/>
          <w:szCs w:val="32"/>
          <w:highlight w:val="none"/>
        </w:rPr>
        <w:t>的</w:t>
      </w:r>
      <w:r>
        <w:rPr>
          <w:rFonts w:hint="eastAsia" w:ascii="仿宋" w:hAnsi="仿宋" w:eastAsia="仿宋" w:cs="Arial"/>
          <w:color w:val="333333"/>
          <w:sz w:val="32"/>
          <w:szCs w:val="32"/>
          <w:highlight w:val="none"/>
        </w:rPr>
        <w:t>自然</w:t>
      </w:r>
      <w:r>
        <w:rPr>
          <w:rFonts w:ascii="仿宋" w:hAnsi="仿宋" w:eastAsia="仿宋" w:cs="Arial"/>
          <w:color w:val="333333"/>
          <w:sz w:val="32"/>
          <w:szCs w:val="32"/>
          <w:highlight w:val="none"/>
        </w:rPr>
        <w:t>人，或者具有独立法人资格的单位;</w:t>
      </w:r>
    </w:p>
    <w:p>
      <w:pPr>
        <w:pStyle w:val="7"/>
        <w:adjustRightInd w:val="0"/>
        <w:snapToGrid w:val="0"/>
        <w:spacing w:beforeAutospacing="0" w:afterAutospacing="0" w:line="360" w:lineRule="auto"/>
        <w:ind w:firstLine="640" w:firstLineChars="200"/>
        <w:rPr>
          <w:rFonts w:ascii="仿宋" w:hAnsi="仿宋" w:eastAsia="仿宋" w:cs="Times New Roman"/>
          <w:bCs/>
          <w:kern w:val="2"/>
          <w:sz w:val="32"/>
          <w:szCs w:val="32"/>
          <w:highlight w:val="none"/>
        </w:rPr>
      </w:pPr>
      <w:r>
        <w:rPr>
          <w:rFonts w:hint="eastAsia" w:ascii="仿宋" w:hAnsi="仿宋" w:eastAsia="仿宋" w:cs="Arial"/>
          <w:color w:val="333333"/>
          <w:sz w:val="32"/>
          <w:szCs w:val="32"/>
          <w:highlight w:val="none"/>
        </w:rPr>
        <w:t>（2）</w:t>
      </w:r>
      <w:r>
        <w:rPr>
          <w:rFonts w:ascii="仿宋" w:hAnsi="仿宋" w:eastAsia="仿宋" w:cs="Arial"/>
          <w:color w:val="333333"/>
          <w:sz w:val="32"/>
          <w:szCs w:val="32"/>
          <w:highlight w:val="none"/>
        </w:rPr>
        <w:t>有与从事彩票代销业务相适应的资金;</w:t>
      </w:r>
    </w:p>
    <w:p>
      <w:pPr>
        <w:pStyle w:val="7"/>
        <w:adjustRightInd w:val="0"/>
        <w:snapToGrid w:val="0"/>
        <w:spacing w:beforeAutospacing="0" w:afterAutospacing="0" w:line="360" w:lineRule="auto"/>
        <w:ind w:firstLine="640" w:firstLineChars="200"/>
        <w:rPr>
          <w:rFonts w:ascii="仿宋" w:hAnsi="仿宋" w:eastAsia="仿宋" w:cs="Times New Roman"/>
          <w:bCs/>
          <w:kern w:val="2"/>
          <w:sz w:val="32"/>
          <w:szCs w:val="32"/>
          <w:highlight w:val="none"/>
        </w:rPr>
      </w:pPr>
      <w:r>
        <w:rPr>
          <w:rFonts w:hint="eastAsia" w:ascii="仿宋" w:hAnsi="仿宋" w:eastAsia="仿宋" w:cs="Arial"/>
          <w:color w:val="333333"/>
          <w:sz w:val="32"/>
          <w:szCs w:val="32"/>
          <w:highlight w:val="none"/>
        </w:rPr>
        <w:t>（3）</w:t>
      </w:r>
      <w:r>
        <w:rPr>
          <w:rFonts w:ascii="仿宋" w:hAnsi="仿宋" w:eastAsia="仿宋" w:cs="Arial"/>
          <w:color w:val="333333"/>
          <w:sz w:val="32"/>
          <w:szCs w:val="32"/>
          <w:highlight w:val="none"/>
        </w:rPr>
        <w:t>近五年内无刑事处罚记录和不良商业信用记录;</w:t>
      </w:r>
    </w:p>
    <w:p>
      <w:pPr>
        <w:adjustRightInd w:val="0"/>
        <w:snapToGrid w:val="0"/>
        <w:spacing w:line="360" w:lineRule="auto"/>
        <w:ind w:firstLine="640" w:firstLineChars="200"/>
        <w:rPr>
          <w:rFonts w:ascii="仿宋" w:hAnsi="仿宋" w:eastAsia="仿宋" w:cs="仿宋_GB2312"/>
          <w:sz w:val="32"/>
          <w:szCs w:val="32"/>
          <w:highlight w:val="none"/>
        </w:rPr>
      </w:pPr>
      <w:r>
        <w:rPr>
          <w:rFonts w:hint="eastAsia" w:ascii="仿宋" w:hAnsi="仿宋" w:eastAsia="仿宋" w:cs="Arial"/>
          <w:sz w:val="32"/>
          <w:szCs w:val="32"/>
          <w:highlight w:val="none"/>
        </w:rPr>
        <w:t>（4）自然人申办</w:t>
      </w:r>
      <w:r>
        <w:rPr>
          <w:rFonts w:hint="eastAsia" w:ascii="仿宋" w:hAnsi="仿宋" w:eastAsia="仿宋" w:cs="仿宋_GB2312"/>
          <w:sz w:val="32"/>
          <w:szCs w:val="32"/>
          <w:highlight w:val="none"/>
        </w:rPr>
        <w:t>须具有湖州市户籍或居住地为湖州市的《浙江省居住证》，具有高中（含）以上文化程度，熟悉电脑操作；</w:t>
      </w:r>
    </w:p>
    <w:p>
      <w:pPr>
        <w:adjustRightInd w:val="0"/>
        <w:snapToGrid w:val="0"/>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（5）国家法律、法规明确规定不得从事彩票销售等经营活动的个人和单位不得申办；</w:t>
      </w:r>
    </w:p>
    <w:p>
      <w:pPr>
        <w:adjustRightInd w:val="0"/>
        <w:snapToGrid w:val="0"/>
        <w:spacing w:line="520" w:lineRule="exact"/>
        <w:ind w:firstLine="640" w:firstLineChars="200"/>
        <w:rPr>
          <w:rFonts w:ascii="仿宋" w:hAnsi="仿宋" w:eastAsia="仿宋"/>
          <w:b/>
          <w:bCs/>
          <w:sz w:val="32"/>
          <w:szCs w:val="32"/>
          <w:highlight w:val="none"/>
        </w:rPr>
      </w:pPr>
      <w:r>
        <w:rPr>
          <w:rFonts w:hint="eastAsia" w:ascii="仿宋" w:hAnsi="仿宋" w:eastAsia="仿宋" w:cs="仿宋_GB2312"/>
          <w:sz w:val="32"/>
          <w:szCs w:val="32"/>
          <w:highlight w:val="none"/>
        </w:rPr>
        <w:t>（6）已具有福利彩票代销者身份的自然人不得申办</w:t>
      </w:r>
      <w:r>
        <w:rPr>
          <w:rFonts w:hint="eastAsia" w:ascii="仿宋" w:hAnsi="仿宋" w:eastAsia="仿宋" w:cs="仿宋_GB2312"/>
          <w:sz w:val="32"/>
          <w:szCs w:val="32"/>
          <w:highlight w:val="none"/>
          <w:lang w:eastAsia="zh-CN"/>
        </w:rPr>
        <w:t>，</w:t>
      </w:r>
      <w:r>
        <w:rPr>
          <w:rFonts w:hint="eastAsia" w:ascii="仿宋" w:eastAsia="仿宋" w:cs="仿宋_GB2312"/>
          <w:color w:val="auto"/>
          <w:sz w:val="32"/>
          <w:szCs w:val="32"/>
          <w:highlight w:val="none"/>
        </w:rPr>
        <w:t>在同一销售场所不得开设双彩店。</w:t>
      </w:r>
    </w:p>
    <w:p>
      <w:pPr>
        <w:pStyle w:val="7"/>
        <w:adjustRightInd w:val="0"/>
        <w:snapToGrid w:val="0"/>
        <w:spacing w:beforeAutospacing="0" w:afterAutospacing="0" w:line="360" w:lineRule="auto"/>
        <w:ind w:firstLine="642" w:firstLineChars="200"/>
        <w:rPr>
          <w:rFonts w:ascii="仿宋" w:hAnsi="仿宋" w:eastAsia="仿宋" w:cs="Times New Roman"/>
          <w:b/>
          <w:kern w:val="2"/>
          <w:sz w:val="32"/>
          <w:szCs w:val="32"/>
          <w:highlight w:val="none"/>
        </w:rPr>
      </w:pPr>
      <w:r>
        <w:rPr>
          <w:rFonts w:hint="eastAsia" w:ascii="仿宋" w:hAnsi="仿宋" w:eastAsia="仿宋" w:cs="Times New Roman"/>
          <w:b/>
          <w:bCs/>
          <w:kern w:val="2"/>
          <w:sz w:val="32"/>
          <w:szCs w:val="32"/>
          <w:highlight w:val="none"/>
          <w:lang w:eastAsia="zh-CN"/>
        </w:rPr>
        <w:t>（二）</w:t>
      </w:r>
      <w:r>
        <w:rPr>
          <w:rFonts w:ascii="仿宋" w:hAnsi="仿宋" w:eastAsia="仿宋" w:cs="Times New Roman"/>
          <w:b/>
          <w:bCs/>
          <w:kern w:val="2"/>
          <w:sz w:val="32"/>
          <w:szCs w:val="32"/>
          <w:highlight w:val="none"/>
        </w:rPr>
        <w:t>销售场所</w:t>
      </w:r>
      <w:r>
        <w:rPr>
          <w:rFonts w:hint="eastAsia" w:ascii="仿宋" w:hAnsi="仿宋" w:eastAsia="仿宋" w:cs="Times New Roman"/>
          <w:b/>
          <w:bCs/>
          <w:kern w:val="2"/>
          <w:sz w:val="32"/>
          <w:szCs w:val="32"/>
          <w:highlight w:val="none"/>
        </w:rPr>
        <w:t>条件</w:t>
      </w:r>
    </w:p>
    <w:p>
      <w:pPr>
        <w:adjustRightInd w:val="0"/>
        <w:snapToGrid w:val="0"/>
        <w:spacing w:line="360" w:lineRule="auto"/>
        <w:ind w:firstLine="642" w:firstLineChars="200"/>
        <w:rPr>
          <w:rFonts w:hint="eastAsia" w:ascii="仿宋" w:hAnsi="仿宋" w:eastAsia="仿宋" w:cs="仿宋_GB2312"/>
          <w:b/>
          <w:bCs/>
          <w:sz w:val="32"/>
          <w:szCs w:val="32"/>
          <w:highlight w:val="none"/>
          <w:lang w:val="en-US" w:eastAsia="zh-CN"/>
        </w:rPr>
      </w:pPr>
      <w:r>
        <w:rPr>
          <w:rFonts w:hint="eastAsia" w:ascii="仿宋" w:hAnsi="仿宋" w:eastAsia="仿宋" w:cs="仿宋_GB2312"/>
          <w:b/>
          <w:bCs/>
          <w:sz w:val="32"/>
          <w:szCs w:val="32"/>
          <w:highlight w:val="none"/>
          <w:lang w:val="en-US" w:eastAsia="zh-CN"/>
        </w:rPr>
        <w:t>1、专营店销售场所条件</w:t>
      </w:r>
    </w:p>
    <w:p>
      <w:pPr>
        <w:adjustRightInd w:val="0"/>
        <w:snapToGrid w:val="0"/>
        <w:spacing w:line="360" w:lineRule="auto"/>
        <w:ind w:firstLine="640" w:firstLineChars="200"/>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rPr>
        <w:t>（1）销售场所营业面积15平方米以上</w:t>
      </w:r>
      <w:r>
        <w:rPr>
          <w:rFonts w:hint="eastAsia" w:ascii="仿宋" w:hAnsi="仿宋" w:eastAsia="仿宋" w:cs="仿宋_GB2312"/>
          <w:sz w:val="32"/>
          <w:szCs w:val="32"/>
          <w:highlight w:val="none"/>
          <w:lang w:eastAsia="zh-CN"/>
        </w:rPr>
        <w:t>；</w:t>
      </w:r>
    </w:p>
    <w:p>
      <w:pPr>
        <w:adjustRightInd w:val="0"/>
        <w:snapToGrid w:val="0"/>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（2）距离现有</w:t>
      </w:r>
      <w:r>
        <w:rPr>
          <w:rFonts w:hint="eastAsia" w:ascii="仿宋" w:hAnsi="仿宋" w:eastAsia="仿宋" w:cs="仿宋_GB2312"/>
          <w:sz w:val="32"/>
          <w:szCs w:val="32"/>
          <w:highlight w:val="none"/>
          <w:lang w:eastAsia="zh-CN"/>
        </w:rPr>
        <w:t>专营销售场所城区不少于</w:t>
      </w:r>
      <w:r>
        <w:rPr>
          <w:rFonts w:hint="eastAsia" w:ascii="仿宋" w:hAnsi="仿宋" w:eastAsia="仿宋" w:cs="仿宋_GB2312"/>
          <w:sz w:val="32"/>
          <w:szCs w:val="32"/>
          <w:highlight w:val="none"/>
        </w:rPr>
        <w:t>300米，</w:t>
      </w:r>
      <w:r>
        <w:rPr>
          <w:rFonts w:hint="eastAsia" w:ascii="仿宋" w:hAnsi="仿宋" w:eastAsia="仿宋" w:cs="仿宋_GB2312"/>
          <w:sz w:val="32"/>
          <w:szCs w:val="32"/>
          <w:highlight w:val="none"/>
          <w:lang w:eastAsia="zh-CN"/>
        </w:rPr>
        <w:t>乡镇不少于</w:t>
      </w:r>
      <w:r>
        <w:rPr>
          <w:rFonts w:hint="eastAsia" w:ascii="仿宋" w:hAnsi="仿宋" w:eastAsia="仿宋" w:cs="仿宋_GB2312"/>
          <w:sz w:val="32"/>
          <w:szCs w:val="32"/>
          <w:highlight w:val="none"/>
          <w:lang w:val="en-US" w:eastAsia="zh-CN"/>
        </w:rPr>
        <w:t>500米，</w:t>
      </w:r>
      <w:r>
        <w:rPr>
          <w:rFonts w:hint="eastAsia" w:ascii="仿宋" w:hAnsi="仿宋" w:eastAsia="仿宋" w:cs="仿宋_GB2312"/>
          <w:sz w:val="32"/>
          <w:szCs w:val="32"/>
          <w:highlight w:val="none"/>
        </w:rPr>
        <w:t>且距离</w:t>
      </w:r>
      <w:r>
        <w:rPr>
          <w:rFonts w:hint="eastAsia" w:ascii="仿宋" w:hAnsi="仿宋" w:eastAsia="仿宋" w:cs="仿宋_GB2312"/>
          <w:sz w:val="32"/>
          <w:szCs w:val="32"/>
          <w:highlight w:val="none"/>
          <w:lang w:eastAsia="zh-CN"/>
        </w:rPr>
        <w:t>学校、幼儿园正门步行距离</w:t>
      </w:r>
      <w:r>
        <w:rPr>
          <w:rFonts w:hint="eastAsia" w:ascii="仿宋" w:hAnsi="仿宋" w:eastAsia="仿宋" w:cs="仿宋_GB2312"/>
          <w:sz w:val="32"/>
          <w:szCs w:val="32"/>
          <w:highlight w:val="none"/>
        </w:rPr>
        <w:t>200米以上；</w:t>
      </w:r>
    </w:p>
    <w:p>
      <w:pPr>
        <w:adjustRightInd w:val="0"/>
        <w:snapToGrid w:val="0"/>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 xml:space="preserve">（3）销售场所要处于商业繁华或人口相对集中区域，交通便利，能满足彩票销售的需求； </w:t>
      </w:r>
    </w:p>
    <w:p>
      <w:pPr>
        <w:adjustRightInd w:val="0"/>
        <w:snapToGrid w:val="0"/>
        <w:spacing w:line="360" w:lineRule="auto"/>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（4）销售场所具有合法的自有房产证明或不少于一年的租赁协议或租赁意向书（提供房产租赁意向书的，待确定获得代销资格后需再提供租赁协议）；</w:t>
      </w:r>
    </w:p>
    <w:p>
      <w:pPr>
        <w:adjustRightInd w:val="0"/>
        <w:snapToGrid w:val="0"/>
        <w:spacing w:line="360" w:lineRule="auto"/>
        <w:ind w:firstLine="640" w:firstLineChars="200"/>
        <w:rPr>
          <w:rFonts w:hint="eastAsia" w:ascii="仿宋" w:hAnsi="仿宋" w:eastAsia="仿宋" w:cs="仿宋_GB2312"/>
          <w:sz w:val="32"/>
          <w:szCs w:val="32"/>
          <w:highlight w:val="none"/>
        </w:rPr>
      </w:pPr>
      <w:r>
        <w:rPr>
          <w:rFonts w:hint="eastAsia" w:ascii="仿宋" w:hAnsi="仿宋" w:eastAsia="仿宋" w:cs="仿宋_GB2312"/>
          <w:sz w:val="32"/>
          <w:szCs w:val="32"/>
          <w:highlight w:val="none"/>
        </w:rPr>
        <w:t>（5）具有销售彩票相应的通讯、消防、安全等设施。</w:t>
      </w:r>
    </w:p>
    <w:p>
      <w:pPr>
        <w:pStyle w:val="7"/>
        <w:widowControl/>
        <w:adjustRightInd w:val="0"/>
        <w:snapToGrid w:val="0"/>
        <w:spacing w:beforeAutospacing="0" w:afterAutospacing="0" w:line="520" w:lineRule="exact"/>
        <w:ind w:firstLine="642" w:firstLineChars="200"/>
        <w:rPr>
          <w:rFonts w:ascii="仿宋" w:eastAsia="仿宋" w:cs="仿宋"/>
          <w:b/>
          <w:color w:val="auto"/>
          <w:sz w:val="32"/>
          <w:szCs w:val="32"/>
          <w:highlight w:val="none"/>
        </w:rPr>
      </w:pPr>
      <w:r>
        <w:rPr>
          <w:rFonts w:hint="eastAsia" w:ascii="仿宋" w:eastAsia="仿宋" w:cs="仿宋"/>
          <w:b/>
          <w:color w:val="auto"/>
          <w:sz w:val="32"/>
          <w:szCs w:val="32"/>
          <w:highlight w:val="none"/>
        </w:rPr>
        <w:t>2</w:t>
      </w:r>
      <w:r>
        <w:rPr>
          <w:rFonts w:hint="eastAsia" w:ascii="仿宋" w:eastAsia="仿宋" w:cs="仿宋"/>
          <w:b/>
          <w:color w:val="auto"/>
          <w:sz w:val="32"/>
          <w:szCs w:val="32"/>
          <w:highlight w:val="none"/>
          <w:lang w:eastAsia="zh-CN"/>
        </w:rPr>
        <w:t>、</w:t>
      </w:r>
      <w:r>
        <w:rPr>
          <w:rFonts w:hint="eastAsia" w:ascii="仿宋" w:eastAsia="仿宋" w:cs="仿宋"/>
          <w:b/>
          <w:color w:val="auto"/>
          <w:sz w:val="32"/>
          <w:szCs w:val="32"/>
          <w:highlight w:val="none"/>
        </w:rPr>
        <w:t>特殊销售场所条件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eastAsia="仿宋" w:cs="仿宋"/>
          <w:color w:val="auto"/>
          <w:sz w:val="32"/>
          <w:szCs w:val="32"/>
          <w:highlight w:val="none"/>
          <w:lang w:eastAsia="zh-CN"/>
        </w:rPr>
      </w:pPr>
      <w:r>
        <w:rPr>
          <w:rFonts w:hint="eastAsia" w:ascii="仿宋" w:eastAsia="仿宋" w:cs="仿宋"/>
          <w:color w:val="auto"/>
          <w:sz w:val="32"/>
          <w:szCs w:val="32"/>
          <w:highlight w:val="none"/>
        </w:rPr>
        <w:t>（1）</w:t>
      </w:r>
      <w:r>
        <w:rPr>
          <w:rFonts w:hint="eastAsia" w:ascii="仿宋" w:eastAsia="仿宋" w:cs="仿宋"/>
          <w:color w:val="auto"/>
          <w:sz w:val="32"/>
          <w:szCs w:val="32"/>
        </w:rPr>
        <w:t>在</w:t>
      </w:r>
      <w:r>
        <w:rPr>
          <w:rFonts w:hint="eastAsia" w:ascii="仿宋" w:hAnsi="仿宋" w:eastAsia="仿宋" w:cs="仿宋"/>
          <w:color w:val="auto"/>
          <w:w w:val="95"/>
          <w:sz w:val="32"/>
          <w:szCs w:val="32"/>
        </w:rPr>
        <w:t>大型商超综合体</w:t>
      </w:r>
      <w:r>
        <w:rPr>
          <w:rFonts w:ascii="仿宋" w:eastAsia="仿宋" w:cs="仿宋"/>
          <w:color w:val="auto"/>
          <w:sz w:val="32"/>
          <w:szCs w:val="32"/>
        </w:rPr>
        <w:t>、</w:t>
      </w:r>
      <w:r>
        <w:rPr>
          <w:rFonts w:hint="eastAsia" w:ascii="仿宋" w:eastAsia="仿宋" w:cs="仿宋"/>
          <w:color w:val="auto"/>
          <w:sz w:val="32"/>
          <w:szCs w:val="32"/>
        </w:rPr>
        <w:t>交通枢纽（</w:t>
      </w:r>
      <w:r>
        <w:rPr>
          <w:rFonts w:ascii="仿宋" w:eastAsia="仿宋" w:cs="仿宋"/>
          <w:color w:val="auto"/>
          <w:sz w:val="32"/>
          <w:szCs w:val="32"/>
        </w:rPr>
        <w:t>火车</w:t>
      </w:r>
      <w:r>
        <w:rPr>
          <w:rFonts w:hint="eastAsia" w:ascii="仿宋" w:eastAsia="仿宋" w:cs="仿宋"/>
          <w:color w:val="auto"/>
          <w:sz w:val="32"/>
          <w:szCs w:val="32"/>
        </w:rPr>
        <w:t>站、高速公路服务区、汽车站）</w:t>
      </w:r>
      <w:r>
        <w:rPr>
          <w:rFonts w:ascii="仿宋" w:eastAsia="仿宋" w:cs="仿宋"/>
          <w:color w:val="auto"/>
          <w:sz w:val="32"/>
          <w:szCs w:val="32"/>
        </w:rPr>
        <w:t>、</w:t>
      </w:r>
      <w:r>
        <w:rPr>
          <w:rFonts w:hint="eastAsia" w:ascii="仿宋" w:eastAsia="仿宋" w:cs="仿宋"/>
          <w:color w:val="auto"/>
          <w:sz w:val="32"/>
          <w:szCs w:val="32"/>
        </w:rPr>
        <w:t>步行街</w:t>
      </w:r>
      <w:r>
        <w:rPr>
          <w:rFonts w:ascii="仿宋" w:eastAsia="仿宋" w:cs="仿宋"/>
          <w:color w:val="auto"/>
          <w:sz w:val="32"/>
          <w:szCs w:val="32"/>
        </w:rPr>
        <w:t>、</w:t>
      </w:r>
      <w:r>
        <w:rPr>
          <w:rFonts w:hint="eastAsia" w:ascii="仿宋" w:eastAsia="仿宋" w:cs="仿宋"/>
          <w:color w:val="auto"/>
          <w:sz w:val="32"/>
          <w:szCs w:val="32"/>
        </w:rPr>
        <w:t>旅游景点及其他人员聚集地等符合行业渠道性质开设的，</w:t>
      </w:r>
      <w:r>
        <w:rPr>
          <w:rFonts w:hint="eastAsia" w:ascii="仿宋_GB2312" w:hAnsi="黑体" w:eastAsia="仿宋_GB2312" w:cs="仿宋_GB2312"/>
          <w:sz w:val="32"/>
          <w:szCs w:val="32"/>
        </w:rPr>
        <w:t>视为特殊销售场所；</w:t>
      </w:r>
    </w:p>
    <w:p>
      <w:pPr>
        <w:pStyle w:val="7"/>
        <w:spacing w:before="0" w:beforeAutospacing="0" w:after="0" w:afterAutospacing="0" w:line="60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（2）销售场所不能沿街面市，必须在行业渠道区域内设立，以设立独立销售区或专柜形式销售；</w:t>
      </w:r>
    </w:p>
    <w:p>
      <w:pPr>
        <w:pStyle w:val="7"/>
        <w:spacing w:before="0" w:beforeAutospacing="0" w:after="0" w:afterAutospacing="0" w:line="60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（3）销售场所须处于渠道内人流相对集中区域，通行便利，能满足彩票销售的需求；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黑体" w:eastAsia="仿宋_GB2312" w:cs="仿宋_GB2312"/>
          <w:sz w:val="32"/>
          <w:szCs w:val="32"/>
          <w:highlight w:val="none"/>
          <w:lang w:val="en-US" w:eastAsia="zh-CN"/>
        </w:rPr>
        <w:t>（4）</w:t>
      </w:r>
      <w:r>
        <w:rPr>
          <w:rFonts w:hint="eastAsia" w:ascii="仿宋_GB2312" w:hAnsi="黑体" w:eastAsia="仿宋_GB2312" w:cs="仿宋_GB2312"/>
          <w:sz w:val="32"/>
          <w:szCs w:val="32"/>
          <w:highlight w:val="none"/>
          <w:lang w:eastAsia="zh-CN"/>
        </w:rPr>
        <w:t>特殊销售场所内只允许一家公司或个人设立；</w:t>
      </w:r>
    </w:p>
    <w:p>
      <w:pPr>
        <w:pStyle w:val="7"/>
        <w:keepNext w:val="0"/>
        <w:keepLines w:val="0"/>
        <w:pageBreakBefore w:val="0"/>
        <w:kinsoku/>
        <w:wordWrap/>
        <w:overflowPunct/>
        <w:topLinePunct w:val="0"/>
        <w:autoSpaceDE/>
        <w:autoSpaceDN/>
        <w:bidi w:val="0"/>
        <w:spacing w:before="0" w:beforeAutospacing="0" w:after="0" w:afterAutospacing="0" w:line="360" w:lineRule="auto"/>
        <w:ind w:firstLine="640" w:firstLineChars="200"/>
        <w:jc w:val="both"/>
        <w:textAlignment w:val="auto"/>
        <w:rPr>
          <w:rFonts w:hint="eastAsia" w:ascii="仿宋" w:eastAsia="仿宋" w:cs="仿宋"/>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）销售场所营业面积需5平方米（含）以上；</w:t>
      </w:r>
    </w:p>
    <w:p>
      <w:pPr>
        <w:pStyle w:val="7"/>
        <w:keepNext w:val="0"/>
        <w:keepLines w:val="0"/>
        <w:pageBreakBefore w:val="0"/>
        <w:kinsoku/>
        <w:wordWrap/>
        <w:overflowPunct/>
        <w:topLinePunct w:val="0"/>
        <w:autoSpaceDE/>
        <w:autoSpaceDN/>
        <w:bidi w:val="0"/>
        <w:spacing w:before="0" w:beforeAutospacing="0" w:after="0" w:afterAutospacing="0" w:line="360" w:lineRule="auto"/>
        <w:ind w:firstLine="640" w:firstLineChars="200"/>
        <w:jc w:val="both"/>
        <w:textAlignment w:val="auto"/>
        <w:rPr>
          <w:rFonts w:hint="eastAsia" w:ascii="仿宋" w:eastAsia="仿宋" w:cs="仿宋"/>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）销售场所在行业渠道内销售，距离现有的传统福彩投注站100米（含）以上（与现有的福彩兼营店之间无距离要求）；</w:t>
      </w:r>
    </w:p>
    <w:p>
      <w:pPr>
        <w:pStyle w:val="7"/>
        <w:keepNext w:val="0"/>
        <w:keepLines w:val="0"/>
        <w:pageBreakBefore w:val="0"/>
        <w:kinsoku/>
        <w:wordWrap/>
        <w:overflowPunct/>
        <w:topLinePunct w:val="0"/>
        <w:autoSpaceDE/>
        <w:autoSpaceDN/>
        <w:bidi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）销售场所具有合法的</w:t>
      </w:r>
      <w:r>
        <w:rPr>
          <w:rFonts w:hint="eastAsia" w:ascii="仿宋_GB2312" w:hAnsi="仿宋_GB2312" w:eastAsia="仿宋_GB2312" w:cs="仿宋_GB2312"/>
          <w:color w:val="auto"/>
          <w:sz w:val="32"/>
          <w:szCs w:val="32"/>
          <w:highlight w:val="none"/>
          <w:lang w:eastAsia="zh-CN"/>
        </w:rPr>
        <w:t>自有</w:t>
      </w:r>
      <w:r>
        <w:rPr>
          <w:rFonts w:hint="eastAsia" w:ascii="仿宋_GB2312" w:hAnsi="仿宋_GB2312" w:eastAsia="仿宋_GB2312" w:cs="仿宋_GB2312"/>
          <w:color w:val="auto"/>
          <w:sz w:val="32"/>
          <w:szCs w:val="32"/>
          <w:highlight w:val="none"/>
        </w:rPr>
        <w:t>房产证明或不少于一年的租赁协议；</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 w:eastAsia="仿宋" w:cs="仿宋_GB2312"/>
          <w:color w:val="auto"/>
          <w:sz w:val="32"/>
          <w:szCs w:val="32"/>
          <w:highlight w:val="none"/>
        </w:rPr>
      </w:pPr>
      <w:r>
        <w:rPr>
          <w:rFonts w:hint="eastAsia" w:ascii="仿宋" w:eastAsia="仿宋" w:cs="仿宋"/>
          <w:color w:val="auto"/>
          <w:sz w:val="32"/>
          <w:szCs w:val="32"/>
          <w:highlight w:val="none"/>
        </w:rPr>
        <w:t>（</w:t>
      </w:r>
      <w:r>
        <w:rPr>
          <w:rFonts w:hint="eastAsia" w:ascii="仿宋" w:eastAsia="仿宋" w:cs="仿宋"/>
          <w:color w:val="auto"/>
          <w:sz w:val="32"/>
          <w:szCs w:val="32"/>
          <w:highlight w:val="none"/>
          <w:lang w:val="en-US" w:eastAsia="zh-CN"/>
        </w:rPr>
        <w:t>8</w:t>
      </w:r>
      <w:r>
        <w:rPr>
          <w:rFonts w:hint="eastAsia" w:ascii="仿宋" w:eastAsia="仿宋" w:cs="仿宋"/>
          <w:color w:val="auto"/>
          <w:sz w:val="32"/>
          <w:szCs w:val="32"/>
          <w:highlight w:val="none"/>
        </w:rPr>
        <w:t>）销售场所</w:t>
      </w:r>
      <w:r>
        <w:rPr>
          <w:rFonts w:hint="eastAsia" w:ascii="仿宋" w:hAnsi="仿宋" w:eastAsia="仿宋" w:cs="仿宋"/>
          <w:color w:val="auto"/>
          <w:sz w:val="32"/>
          <w:szCs w:val="32"/>
          <w:highlight w:val="none"/>
        </w:rPr>
        <w:t>装修</w:t>
      </w:r>
      <w:r>
        <w:rPr>
          <w:rFonts w:ascii="仿宋" w:eastAsia="仿宋" w:cs="仿宋"/>
          <w:color w:val="auto"/>
          <w:sz w:val="32"/>
          <w:szCs w:val="32"/>
          <w:highlight w:val="none"/>
        </w:rPr>
        <w:t>可区别于</w:t>
      </w:r>
      <w:r>
        <w:rPr>
          <w:rFonts w:hint="eastAsia" w:ascii="仿宋" w:eastAsia="仿宋" w:cs="仿宋"/>
          <w:color w:val="auto"/>
          <w:sz w:val="32"/>
          <w:szCs w:val="32"/>
          <w:highlight w:val="none"/>
        </w:rPr>
        <w:t>传统销售场所</w:t>
      </w:r>
      <w:r>
        <w:rPr>
          <w:rFonts w:ascii="仿宋" w:eastAsia="仿宋" w:cs="仿宋"/>
          <w:color w:val="auto"/>
          <w:sz w:val="32"/>
          <w:szCs w:val="32"/>
          <w:highlight w:val="none"/>
        </w:rPr>
        <w:t>，但需包括</w:t>
      </w:r>
      <w:r>
        <w:rPr>
          <w:rFonts w:hint="eastAsia" w:ascii="仿宋" w:eastAsia="仿宋" w:cs="仿宋"/>
          <w:color w:val="auto"/>
          <w:sz w:val="32"/>
          <w:szCs w:val="32"/>
          <w:highlight w:val="none"/>
          <w:lang w:eastAsia="zh-CN"/>
        </w:rPr>
        <w:t>灯箱（或投影灯）、即开票销售柜</w:t>
      </w:r>
      <w:r>
        <w:rPr>
          <w:rFonts w:hint="eastAsia" w:ascii="仿宋" w:eastAsia="仿宋" w:cs="仿宋"/>
          <w:color w:val="auto"/>
          <w:sz w:val="32"/>
          <w:szCs w:val="32"/>
          <w:highlight w:val="none"/>
        </w:rPr>
        <w:t>、警示</w:t>
      </w:r>
      <w:r>
        <w:rPr>
          <w:rFonts w:hint="eastAsia" w:ascii="仿宋" w:eastAsia="仿宋" w:cs="仿宋"/>
          <w:color w:val="auto"/>
          <w:sz w:val="32"/>
          <w:szCs w:val="32"/>
          <w:highlight w:val="none"/>
          <w:lang w:eastAsia="zh-CN"/>
        </w:rPr>
        <w:t>标</w:t>
      </w:r>
      <w:r>
        <w:rPr>
          <w:rFonts w:hint="eastAsia" w:ascii="仿宋" w:eastAsia="仿宋" w:cs="仿宋"/>
          <w:color w:val="auto"/>
          <w:sz w:val="32"/>
          <w:szCs w:val="32"/>
          <w:highlight w:val="none"/>
        </w:rPr>
        <w:t>语</w:t>
      </w:r>
      <w:r>
        <w:rPr>
          <w:rFonts w:hint="eastAsia" w:ascii="仿宋" w:eastAsia="仿宋" w:cs="仿宋"/>
          <w:color w:val="auto"/>
          <w:sz w:val="32"/>
          <w:szCs w:val="32"/>
          <w:highlight w:val="none"/>
          <w:lang w:eastAsia="zh-CN"/>
        </w:rPr>
        <w:t>、</w:t>
      </w:r>
      <w:r>
        <w:rPr>
          <w:rFonts w:ascii="仿宋" w:eastAsia="仿宋" w:cs="仿宋"/>
          <w:color w:val="auto"/>
          <w:sz w:val="32"/>
          <w:szCs w:val="32"/>
          <w:highlight w:val="none"/>
        </w:rPr>
        <w:t>福彩标识</w:t>
      </w:r>
      <w:r>
        <w:rPr>
          <w:rFonts w:hint="eastAsia" w:ascii="仿宋" w:eastAsia="仿宋" w:cs="仿宋"/>
          <w:color w:val="auto"/>
          <w:sz w:val="32"/>
          <w:szCs w:val="32"/>
          <w:highlight w:val="none"/>
        </w:rPr>
        <w:t>、</w:t>
      </w:r>
      <w:r>
        <w:rPr>
          <w:rFonts w:hint="eastAsia" w:ascii="仿宋" w:eastAsia="仿宋" w:cs="仿宋"/>
          <w:color w:val="auto"/>
          <w:sz w:val="32"/>
          <w:szCs w:val="32"/>
          <w:highlight w:val="none"/>
          <w:lang w:eastAsia="zh-CN"/>
        </w:rPr>
        <w:t>代销证</w:t>
      </w:r>
      <w:r>
        <w:rPr>
          <w:rFonts w:ascii="仿宋" w:eastAsia="仿宋" w:cs="仿宋"/>
          <w:color w:val="auto"/>
          <w:sz w:val="32"/>
          <w:szCs w:val="32"/>
          <w:highlight w:val="none"/>
        </w:rPr>
        <w:t>等基本要素</w:t>
      </w:r>
      <w:r>
        <w:rPr>
          <w:rFonts w:hint="eastAsia" w:ascii="仿宋" w:eastAsia="仿宋"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 w:eastAsia="仿宋" w:cs="仿宋"/>
          <w:color w:val="auto"/>
          <w:sz w:val="32"/>
          <w:szCs w:val="32"/>
          <w:highlight w:val="none"/>
        </w:rPr>
      </w:pPr>
      <w:r>
        <w:rPr>
          <w:rFonts w:hint="eastAsia" w:ascii="仿宋" w:eastAsia="仿宋" w:cs="仿宋"/>
          <w:color w:val="auto"/>
          <w:sz w:val="32"/>
          <w:szCs w:val="32"/>
          <w:highlight w:val="none"/>
        </w:rPr>
        <w:t>（</w:t>
      </w:r>
      <w:r>
        <w:rPr>
          <w:rFonts w:hint="eastAsia" w:ascii="仿宋" w:eastAsia="仿宋" w:cs="仿宋"/>
          <w:color w:val="auto"/>
          <w:sz w:val="32"/>
          <w:szCs w:val="32"/>
          <w:highlight w:val="none"/>
          <w:lang w:val="en-US" w:eastAsia="zh-CN"/>
        </w:rPr>
        <w:t>9</w:t>
      </w:r>
      <w:r>
        <w:rPr>
          <w:rFonts w:hint="eastAsia" w:ascii="仿宋" w:eastAsia="仿宋" w:cs="仿宋"/>
          <w:color w:val="auto"/>
          <w:sz w:val="32"/>
          <w:szCs w:val="32"/>
          <w:highlight w:val="none"/>
        </w:rPr>
        <w:t>）具有销售彩票相应的通讯、消防、安全等设施。</w:t>
      </w:r>
    </w:p>
    <w:p>
      <w:pPr>
        <w:pStyle w:val="7"/>
        <w:adjustRightInd w:val="0"/>
        <w:snapToGrid w:val="0"/>
        <w:spacing w:beforeAutospacing="0" w:afterAutospacing="0" w:line="560" w:lineRule="exact"/>
        <w:ind w:firstLine="642" w:firstLineChars="200"/>
        <w:rPr>
          <w:rFonts w:ascii="仿宋" w:hAnsi="仿宋" w:eastAsia="仿宋" w:cs="黑体"/>
          <w:b/>
          <w:kern w:val="2"/>
          <w:sz w:val="32"/>
          <w:szCs w:val="32"/>
        </w:rPr>
      </w:pPr>
      <w:r>
        <w:rPr>
          <w:rFonts w:hint="eastAsia" w:ascii="仿宋" w:hAnsi="仿宋" w:eastAsia="仿宋" w:cs="黑体"/>
          <w:b/>
          <w:kern w:val="2"/>
          <w:sz w:val="32"/>
          <w:szCs w:val="32"/>
        </w:rPr>
        <w:t>四、申办流程</w:t>
      </w:r>
    </w:p>
    <w:p>
      <w:pPr>
        <w:pStyle w:val="7"/>
        <w:spacing w:before="0" w:beforeAutospacing="0" w:after="0" w:afterAutospacing="0" w:line="600" w:lineRule="exact"/>
        <w:ind w:firstLine="642" w:firstLineChars="200"/>
        <w:jc w:val="both"/>
        <w:rPr>
          <w:rFonts w:ascii="仿宋" w:hAnsi="仿宋" w:eastAsia="仿宋" w:cs="Times New Roman"/>
          <w:kern w:val="2"/>
          <w:sz w:val="32"/>
          <w:szCs w:val="32"/>
        </w:rPr>
      </w:pPr>
      <w:r>
        <w:rPr>
          <w:rFonts w:hint="eastAsia" w:ascii="仿宋" w:hAnsi="仿宋" w:eastAsia="仿宋" w:cs="Times New Roman"/>
          <w:b/>
          <w:bCs/>
          <w:kern w:val="2"/>
          <w:sz w:val="32"/>
          <w:szCs w:val="32"/>
        </w:rPr>
        <w:t>1、网上申办。</w:t>
      </w:r>
      <w:r>
        <w:rPr>
          <w:rFonts w:hint="eastAsia" w:ascii="仿宋_GB2312" w:hAnsi="仿宋_GB2312" w:eastAsia="仿宋_GB2312" w:cs="仿宋_GB2312"/>
          <w:color w:val="auto"/>
          <w:sz w:val="32"/>
          <w:szCs w:val="32"/>
        </w:rPr>
        <w:t>申办人登录浙江政务服务网或“浙里办”APP，查找并选择“自然人申办福彩投注站”事项，点击“在线办理”，按系统提示如实填写相关信息，并以照片形式上传申办材料。</w:t>
      </w:r>
    </w:p>
    <w:p>
      <w:pPr>
        <w:spacing w:line="360" w:lineRule="auto"/>
        <w:ind w:firstLine="642" w:firstLineChars="200"/>
        <w:rPr>
          <w:rFonts w:ascii="仿宋" w:hAnsi="仿宋" w:eastAsia="仿宋" w:cs="仿宋"/>
          <w:sz w:val="32"/>
          <w:szCs w:val="32"/>
        </w:rPr>
      </w:pPr>
      <w:r>
        <w:rPr>
          <w:rFonts w:hint="eastAsia" w:ascii="仿宋" w:hAnsi="仿宋" w:eastAsia="仿宋" w:cs="仿宋"/>
          <w:b/>
          <w:sz w:val="32"/>
          <w:szCs w:val="32"/>
        </w:rPr>
        <w:t>2、材料审核。</w:t>
      </w:r>
      <w:r>
        <w:rPr>
          <w:rFonts w:hint="eastAsia" w:ascii="仿宋" w:hAnsi="仿宋" w:eastAsia="仿宋" w:cs="仿宋"/>
          <w:sz w:val="32"/>
          <w:szCs w:val="32"/>
        </w:rPr>
        <w:t>市福彩中心在3个工作日内按照报名的时间顺序对提交的申办材料进行审核。</w:t>
      </w:r>
    </w:p>
    <w:p>
      <w:pPr>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3、实地查勘。</w:t>
      </w:r>
      <w:r>
        <w:rPr>
          <w:rFonts w:hint="eastAsia" w:ascii="仿宋" w:hAnsi="仿宋" w:eastAsia="仿宋" w:cs="仿宋"/>
          <w:sz w:val="32"/>
          <w:szCs w:val="32"/>
        </w:rPr>
        <w:t>报名申办材料审核通过的，市福彩中心在7个工作日内派员对申办的销售场所进行实地勘察。</w:t>
      </w:r>
    </w:p>
    <w:p>
      <w:pPr>
        <w:spacing w:line="360" w:lineRule="auto"/>
        <w:ind w:firstLine="642" w:firstLineChars="200"/>
        <w:rPr>
          <w:rFonts w:ascii="仿宋" w:hAnsi="仿宋" w:eastAsia="仿宋" w:cs="仿宋"/>
          <w:sz w:val="32"/>
          <w:szCs w:val="32"/>
        </w:rPr>
      </w:pPr>
      <w:r>
        <w:rPr>
          <w:rFonts w:hint="eastAsia" w:ascii="仿宋" w:hAnsi="仿宋" w:eastAsia="仿宋" w:cs="仿宋"/>
          <w:b/>
          <w:sz w:val="32"/>
          <w:szCs w:val="32"/>
        </w:rPr>
        <w:t>4、结果公示。</w:t>
      </w:r>
      <w:r>
        <w:rPr>
          <w:rFonts w:hint="eastAsia" w:ascii="仿宋" w:hAnsi="仿宋" w:eastAsia="仿宋" w:cs="仿宋"/>
          <w:sz w:val="32"/>
          <w:szCs w:val="32"/>
        </w:rPr>
        <w:t>凡申办材料和实地查勘审核通过的，申办人可获得代销资格，市福彩中心通过省、市福彩网站对申办人、申办销售场所等信息进行公示，公示期3天。</w:t>
      </w:r>
    </w:p>
    <w:p>
      <w:pPr>
        <w:spacing w:line="360" w:lineRule="auto"/>
        <w:ind w:firstLine="642" w:firstLineChars="200"/>
        <w:rPr>
          <w:rFonts w:ascii="仿宋" w:hAnsi="仿宋" w:eastAsia="仿宋" w:cs="仿宋"/>
          <w:sz w:val="32"/>
          <w:szCs w:val="32"/>
        </w:rPr>
      </w:pPr>
      <w:r>
        <w:rPr>
          <w:rFonts w:hint="eastAsia" w:ascii="仿宋" w:hAnsi="仿宋" w:eastAsia="仿宋" w:cs="仿宋"/>
          <w:b/>
          <w:sz w:val="32"/>
          <w:szCs w:val="32"/>
        </w:rPr>
        <w:t>5、培训考试。</w:t>
      </w:r>
      <w:r>
        <w:rPr>
          <w:rFonts w:hint="eastAsia" w:ascii="仿宋" w:hAnsi="仿宋" w:eastAsia="仿宋" w:cs="仿宋"/>
          <w:sz w:val="32"/>
          <w:szCs w:val="32"/>
        </w:rPr>
        <w:t>公示结束无异议后，申办人参加市福彩中心组织的从业知识培训并通过考试。</w:t>
      </w:r>
    </w:p>
    <w:p>
      <w:pPr>
        <w:spacing w:line="360" w:lineRule="auto"/>
        <w:ind w:firstLine="642" w:firstLineChars="200"/>
        <w:rPr>
          <w:rFonts w:ascii="仿宋" w:hAnsi="仿宋" w:eastAsia="仿宋" w:cs="仿宋"/>
          <w:sz w:val="32"/>
          <w:szCs w:val="32"/>
        </w:rPr>
      </w:pPr>
      <w:r>
        <w:rPr>
          <w:rFonts w:hint="eastAsia" w:ascii="仿宋" w:hAnsi="仿宋" w:eastAsia="仿宋" w:cs="仿宋"/>
          <w:b/>
          <w:sz w:val="32"/>
          <w:szCs w:val="32"/>
        </w:rPr>
        <w:t>6、站点建设。</w:t>
      </w:r>
      <w:r>
        <w:rPr>
          <w:rFonts w:hint="eastAsia" w:ascii="仿宋" w:hAnsi="仿宋" w:eastAsia="仿宋" w:cs="仿宋"/>
          <w:sz w:val="32"/>
          <w:szCs w:val="32"/>
        </w:rPr>
        <w:t>考试通过后，申办人按照投注站形象建设标准对销售场所进行装修，并在1个月内通过市福彩中心验收。</w:t>
      </w:r>
    </w:p>
    <w:p>
      <w:pPr>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7、系统注册。</w:t>
      </w:r>
      <w:r>
        <w:rPr>
          <w:rFonts w:hint="eastAsia" w:ascii="仿宋" w:hAnsi="仿宋" w:eastAsia="仿宋" w:cs="仿宋"/>
          <w:bCs/>
          <w:sz w:val="32"/>
          <w:szCs w:val="32"/>
        </w:rPr>
        <w:t>申办人向市福彩中心交纳相应的销售保证金，</w:t>
      </w:r>
      <w:r>
        <w:rPr>
          <w:rFonts w:hint="eastAsia" w:ascii="仿宋" w:hAnsi="仿宋" w:eastAsia="仿宋" w:cs="仿宋"/>
          <w:sz w:val="32"/>
          <w:szCs w:val="32"/>
        </w:rPr>
        <w:t>市福彩中心按流程办理新增投注站设立手续，省福彩中心进行系统信息注册。</w:t>
      </w:r>
    </w:p>
    <w:p>
      <w:pPr>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8、签约销售。</w:t>
      </w:r>
      <w:r>
        <w:rPr>
          <w:rFonts w:hint="eastAsia" w:ascii="仿宋" w:hAnsi="仿宋" w:eastAsia="仿宋" w:cs="仿宋"/>
          <w:sz w:val="32"/>
          <w:szCs w:val="32"/>
        </w:rPr>
        <w:t>市福彩中心与申办人签订代销合同，核发福利彩票代销证并提供投注设备，申办人应在市福彩中心规定时间内开始销售。</w:t>
      </w:r>
    </w:p>
    <w:p>
      <w:pPr>
        <w:pStyle w:val="7"/>
        <w:adjustRightInd w:val="0"/>
        <w:snapToGrid w:val="0"/>
        <w:spacing w:beforeAutospacing="0" w:afterAutospacing="0" w:line="560" w:lineRule="exact"/>
        <w:ind w:firstLine="642" w:firstLineChars="200"/>
        <w:rPr>
          <w:rFonts w:ascii="仿宋" w:hAnsi="仿宋" w:eastAsia="仿宋" w:cs="黑体"/>
          <w:b/>
          <w:kern w:val="2"/>
          <w:sz w:val="32"/>
          <w:szCs w:val="32"/>
        </w:rPr>
      </w:pPr>
      <w:r>
        <w:rPr>
          <w:rFonts w:hint="eastAsia" w:ascii="仿宋" w:hAnsi="仿宋" w:eastAsia="仿宋" w:cs="黑体"/>
          <w:b/>
          <w:kern w:val="2"/>
          <w:sz w:val="32"/>
          <w:szCs w:val="32"/>
        </w:rPr>
        <w:t>五、申办材料</w:t>
      </w:r>
    </w:p>
    <w:p>
      <w:pPr>
        <w:pStyle w:val="7"/>
        <w:adjustRightInd w:val="0"/>
        <w:snapToGrid w:val="0"/>
        <w:spacing w:beforeAutospacing="0" w:afterAutospacing="0" w:line="560" w:lineRule="exact"/>
        <w:ind w:firstLine="642" w:firstLineChars="200"/>
        <w:rPr>
          <w:rFonts w:ascii="仿宋" w:hAnsi="仿宋" w:eastAsia="仿宋" w:cs="黑体"/>
          <w:b/>
          <w:kern w:val="2"/>
          <w:sz w:val="32"/>
          <w:szCs w:val="32"/>
        </w:rPr>
      </w:pPr>
      <w:r>
        <w:rPr>
          <w:rFonts w:hint="eastAsia" w:ascii="仿宋" w:hAnsi="仿宋" w:eastAsia="仿宋" w:cs="黑体"/>
          <w:b/>
          <w:kern w:val="2"/>
          <w:sz w:val="32"/>
          <w:szCs w:val="32"/>
        </w:rPr>
        <w:t>1、自然人申办材料</w:t>
      </w:r>
    </w:p>
    <w:p>
      <w:pPr>
        <w:pStyle w:val="7"/>
        <w:adjustRightInd w:val="0"/>
        <w:snapToGrid w:val="0"/>
        <w:spacing w:beforeAutospacing="0" w:afterAutospacing="0" w:line="560" w:lineRule="exact"/>
        <w:ind w:firstLine="640" w:firstLineChars="200"/>
        <w:rPr>
          <w:rFonts w:ascii="仿宋" w:hAnsi="仿宋" w:eastAsia="仿宋" w:cs="Times New Roman"/>
          <w:b/>
          <w:bCs/>
          <w:kern w:val="2"/>
          <w:sz w:val="32"/>
          <w:szCs w:val="32"/>
        </w:rPr>
      </w:pPr>
      <w:r>
        <w:rPr>
          <w:rFonts w:hint="eastAsia" w:ascii="仿宋" w:hAnsi="仿宋" w:eastAsia="仿宋" w:cs="仿宋_GB2312"/>
          <w:sz w:val="32"/>
          <w:szCs w:val="32"/>
        </w:rPr>
        <w:t>（1）申请人身份证（正、反面）；</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（2）申请人户口本（户籍证明）或居住地为湖州市的《浙江省居住证》；</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（3）高中及以上学历证书；</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（4）销售场所自有合法房产证明或自报名日起不少于一年的房屋租赁协议（含房屋租赁意向书）、合法房产证明；</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w:t>
      </w:r>
      <w:r>
        <w:rPr>
          <w:rFonts w:ascii="仿宋" w:hAnsi="仿宋" w:eastAsia="仿宋" w:cs="Arial"/>
          <w:sz w:val="32"/>
          <w:szCs w:val="32"/>
        </w:rPr>
        <w:t>近五年内无刑事处罚记录和不良商业信用记录</w:t>
      </w:r>
      <w:r>
        <w:rPr>
          <w:rFonts w:hint="eastAsia" w:ascii="仿宋" w:hAnsi="仿宋" w:eastAsia="仿宋" w:cs="仿宋_GB2312"/>
          <w:sz w:val="32"/>
          <w:szCs w:val="32"/>
        </w:rPr>
        <w:t>承诺书。</w:t>
      </w:r>
    </w:p>
    <w:p>
      <w:pPr>
        <w:adjustRightInd w:val="0"/>
        <w:snapToGrid w:val="0"/>
        <w:spacing w:line="560" w:lineRule="exact"/>
        <w:ind w:firstLine="642" w:firstLineChars="200"/>
        <w:rPr>
          <w:rFonts w:ascii="仿宋" w:hAnsi="仿宋" w:eastAsia="仿宋" w:cs="仿宋_GB2312"/>
          <w:b/>
          <w:sz w:val="32"/>
          <w:szCs w:val="32"/>
        </w:rPr>
      </w:pPr>
      <w:r>
        <w:rPr>
          <w:rFonts w:hint="eastAsia" w:ascii="仿宋" w:hAnsi="仿宋" w:eastAsia="仿宋" w:cs="仿宋_GB2312"/>
          <w:b/>
          <w:sz w:val="32"/>
          <w:szCs w:val="32"/>
        </w:rPr>
        <w:t>2、法人申办材料</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（1）营业执照或事业单位法人证书；</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（2）银行开户许可证；</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（3）机构信用代码证；</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（4）法定代表人身份证（正、反面）；</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（5）经办人身份证（正、反面）；</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（6）销售场所自有合法房产证明或自报名日起不少于一年的房屋租赁协议（含房屋租赁意向书）、合法房产证明；</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Arial"/>
          <w:sz w:val="32"/>
          <w:szCs w:val="32"/>
        </w:rPr>
        <w:t>（7）</w:t>
      </w:r>
      <w:r>
        <w:rPr>
          <w:rFonts w:ascii="仿宋" w:hAnsi="仿宋" w:eastAsia="仿宋" w:cs="Arial"/>
          <w:sz w:val="32"/>
          <w:szCs w:val="32"/>
        </w:rPr>
        <w:t>近五年内无刑事处罚记录和不良商业信用记录</w:t>
      </w:r>
      <w:r>
        <w:rPr>
          <w:rFonts w:hint="eastAsia" w:ascii="仿宋" w:hAnsi="仿宋" w:eastAsia="仿宋" w:cs="仿宋_GB2312"/>
          <w:sz w:val="32"/>
          <w:szCs w:val="32"/>
        </w:rPr>
        <w:t>承诺书。</w:t>
      </w:r>
    </w:p>
    <w:p>
      <w:pPr>
        <w:adjustRightInd w:val="0"/>
        <w:snapToGrid w:val="0"/>
        <w:spacing w:line="560" w:lineRule="exact"/>
        <w:ind w:firstLine="642" w:firstLineChars="200"/>
        <w:rPr>
          <w:rFonts w:ascii="仿宋" w:hAnsi="仿宋" w:eastAsia="仿宋" w:cs="仿宋_GB2312"/>
          <w:b/>
          <w:bCs/>
          <w:sz w:val="32"/>
          <w:szCs w:val="32"/>
        </w:rPr>
      </w:pPr>
      <w:r>
        <w:rPr>
          <w:rFonts w:hint="eastAsia" w:ascii="仿宋" w:hAnsi="仿宋" w:eastAsia="仿宋" w:cs="仿宋_GB2312"/>
          <w:b/>
          <w:bCs/>
          <w:sz w:val="32"/>
          <w:szCs w:val="32"/>
        </w:rPr>
        <w:t>六、经营要求</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申办人获得代销资格后，须自主经营，严格依法并遵守代销合同的约定从事彩票销售活动，每日营业时间不少于10小时，不得委托他人代销，不得转借、转租、转让投注专用设备，否则福彩机构可取消代销资格。</w:t>
      </w:r>
    </w:p>
    <w:p>
      <w:pPr>
        <w:adjustRightInd w:val="0"/>
        <w:snapToGrid w:val="0"/>
        <w:spacing w:line="560" w:lineRule="exact"/>
        <w:ind w:firstLine="640" w:firstLineChars="200"/>
        <w:rPr>
          <w:rFonts w:ascii="仿宋" w:hAnsi="仿宋" w:eastAsia="仿宋" w:cs="仿宋_GB2312"/>
          <w:sz w:val="32"/>
          <w:szCs w:val="32"/>
        </w:rPr>
      </w:pPr>
      <w:r>
        <w:rPr>
          <w:rFonts w:hint="eastAsia" w:ascii="仿宋_GB2312" w:hAnsi="仿宋_GB2312" w:eastAsia="仿宋" w:cs="仿宋_GB2312"/>
          <w:sz w:val="32"/>
          <w:szCs w:val="32"/>
        </w:rPr>
        <w:t> </w:t>
      </w:r>
      <w:r>
        <w:rPr>
          <w:rFonts w:hint="eastAsia" w:ascii="仿宋" w:hAnsi="仿宋" w:eastAsia="仿宋" w:cs="仿宋_GB2312"/>
          <w:sz w:val="32"/>
          <w:szCs w:val="32"/>
        </w:rPr>
        <w:t>2、申办人获得代销资格后一年内不得变更销售场所地址（不可抗力原因除外）。若一年内因不可抗力原因或一年后需要变更销售场所地址的，须符合福彩机构相关规定，且变更后的销售场所标准不得低于规定标准。</w:t>
      </w:r>
    </w:p>
    <w:p>
      <w:pPr>
        <w:adjustRightInd w:val="0"/>
        <w:snapToGrid w:val="0"/>
        <w:spacing w:line="520" w:lineRule="exact"/>
        <w:ind w:firstLine="640" w:firstLineChars="200"/>
        <w:rPr>
          <w:rFonts w:hint="eastAsia" w:ascii="仿宋" w:hAnsi="仿宋" w:eastAsia="仿宋" w:cs="黑体"/>
          <w:b/>
          <w:sz w:val="32"/>
          <w:szCs w:val="32"/>
        </w:rPr>
      </w:pPr>
      <w:r>
        <w:rPr>
          <w:rFonts w:hint="eastAsia" w:ascii="仿宋" w:eastAsia="仿宋" w:cs="仿宋_GB2312"/>
          <w:color w:val="auto"/>
          <w:sz w:val="32"/>
          <w:szCs w:val="32"/>
        </w:rPr>
        <w:t>3.</w:t>
      </w:r>
      <w:r>
        <w:rPr>
          <w:rFonts w:hint="eastAsia" w:ascii="仿宋" w:eastAsia="仿宋" w:cs="仿宋"/>
          <w:color w:val="auto"/>
          <w:sz w:val="32"/>
          <w:szCs w:val="32"/>
        </w:rPr>
        <w:t>特殊销售场所不得移出该行业渠道范围经营；兼营销售场所不得擅自移址销售；否则将</w:t>
      </w:r>
      <w:r>
        <w:rPr>
          <w:rFonts w:hint="eastAsia" w:ascii="仿宋" w:eastAsia="仿宋" w:cs="仿宋_GB2312"/>
          <w:color w:val="auto"/>
          <w:sz w:val="32"/>
          <w:szCs w:val="32"/>
        </w:rPr>
        <w:t>取消代销资格</w:t>
      </w:r>
      <w:r>
        <w:rPr>
          <w:rFonts w:hint="eastAsia" w:ascii="仿宋" w:eastAsia="仿宋" w:cs="仿宋"/>
          <w:color w:val="auto"/>
          <w:sz w:val="32"/>
          <w:szCs w:val="32"/>
        </w:rPr>
        <w:t>。</w:t>
      </w:r>
    </w:p>
    <w:p>
      <w:pPr>
        <w:adjustRightInd w:val="0"/>
        <w:snapToGrid w:val="0"/>
        <w:spacing w:line="560" w:lineRule="exact"/>
        <w:ind w:firstLine="642" w:firstLineChars="200"/>
        <w:rPr>
          <w:rFonts w:ascii="仿宋" w:hAnsi="仿宋" w:eastAsia="仿宋" w:cs="仿宋_GB2312"/>
          <w:sz w:val="32"/>
          <w:szCs w:val="32"/>
          <w:highlight w:val="none"/>
        </w:rPr>
      </w:pPr>
      <w:r>
        <w:rPr>
          <w:rFonts w:hint="eastAsia" w:ascii="仿宋" w:hAnsi="仿宋" w:eastAsia="仿宋" w:cs="黑体"/>
          <w:b/>
          <w:sz w:val="32"/>
          <w:szCs w:val="32"/>
          <w:highlight w:val="none"/>
        </w:rPr>
        <w:t>七、有关事项说明</w:t>
      </w:r>
    </w:p>
    <w:p>
      <w:pPr>
        <w:pStyle w:val="7"/>
        <w:spacing w:before="0" w:beforeAutospacing="0" w:after="0" w:afterAutospacing="0" w:line="360" w:lineRule="auto"/>
        <w:ind w:firstLine="640" w:firstLineChars="200"/>
        <w:jc w:val="both"/>
        <w:rPr>
          <w:rFonts w:ascii="仿宋" w:hAnsi="仿宋" w:eastAsia="仿宋" w:cs="仿宋_GB2312"/>
          <w:sz w:val="32"/>
          <w:szCs w:val="32"/>
          <w:highlight w:val="none"/>
        </w:rPr>
      </w:pPr>
      <w:r>
        <w:rPr>
          <w:rFonts w:hint="eastAsia" w:ascii="仿宋" w:hAnsi="仿宋" w:eastAsia="仿宋" w:cs="仿宋_GB2312"/>
          <w:sz w:val="32"/>
          <w:szCs w:val="32"/>
          <w:highlight w:val="none"/>
        </w:rPr>
        <w:t>1、自然人申办每次仅限申办一处地址，申办不成功的还可再次申办，申办成功后不得再次申办。</w:t>
      </w:r>
    </w:p>
    <w:p>
      <w:pPr>
        <w:pStyle w:val="7"/>
        <w:spacing w:before="0" w:beforeAutospacing="0" w:after="0" w:afterAutospacing="0" w:line="360" w:lineRule="auto"/>
        <w:ind w:firstLine="640" w:firstLineChars="200"/>
        <w:jc w:val="both"/>
        <w:rPr>
          <w:rFonts w:ascii="仿宋" w:hAnsi="仿宋" w:eastAsia="仿宋" w:cs="仿宋_GB2312"/>
          <w:sz w:val="32"/>
          <w:szCs w:val="32"/>
          <w:highlight w:val="none"/>
        </w:rPr>
      </w:pPr>
      <w:r>
        <w:rPr>
          <w:rFonts w:hint="eastAsia" w:ascii="仿宋" w:hAnsi="仿宋" w:eastAsia="仿宋" w:cs="仿宋_GB2312"/>
          <w:sz w:val="32"/>
          <w:szCs w:val="32"/>
          <w:highlight w:val="none"/>
        </w:rPr>
        <w:t>2、同一区域范围内如有多个符合征召条件的申办人，以网上申办时间先后顺序确定最终代销资格。</w:t>
      </w:r>
    </w:p>
    <w:p>
      <w:pPr>
        <w:pStyle w:val="7"/>
        <w:spacing w:before="0" w:beforeAutospacing="0" w:after="0" w:afterAutospacing="0" w:line="360" w:lineRule="auto"/>
        <w:ind w:firstLine="640" w:firstLineChars="200"/>
        <w:jc w:val="both"/>
        <w:rPr>
          <w:rFonts w:ascii="仿宋" w:hAnsi="仿宋" w:eastAsia="仿宋" w:cs="仿宋_GB2312"/>
          <w:sz w:val="32"/>
          <w:szCs w:val="32"/>
          <w:highlight w:val="none"/>
        </w:rPr>
      </w:pPr>
      <w:r>
        <w:rPr>
          <w:rFonts w:hint="eastAsia" w:ascii="仿宋" w:hAnsi="仿宋" w:eastAsia="仿宋" w:cs="仿宋_GB2312"/>
          <w:sz w:val="32"/>
          <w:szCs w:val="32"/>
          <w:highlight w:val="none"/>
        </w:rPr>
        <w:t>3、资料不全、不实者即视为无效申办；提供虚假资料的，经查实取消申办资格。</w:t>
      </w:r>
    </w:p>
    <w:p>
      <w:pPr>
        <w:pStyle w:val="7"/>
        <w:spacing w:before="0" w:beforeAutospacing="0" w:after="0" w:afterAutospacing="0" w:line="360" w:lineRule="auto"/>
        <w:ind w:firstLine="640" w:firstLineChars="200"/>
        <w:jc w:val="both"/>
        <w:rPr>
          <w:rFonts w:ascii="仿宋" w:hAnsi="仿宋" w:eastAsia="仿宋" w:cs="仿宋_GB2312"/>
          <w:sz w:val="32"/>
          <w:szCs w:val="32"/>
          <w:highlight w:val="none"/>
        </w:rPr>
      </w:pPr>
      <w:r>
        <w:rPr>
          <w:rFonts w:hint="eastAsia" w:ascii="仿宋" w:hAnsi="仿宋" w:eastAsia="仿宋" w:cs="仿宋_GB2312"/>
          <w:sz w:val="32"/>
          <w:szCs w:val="32"/>
          <w:highlight w:val="none"/>
        </w:rPr>
        <w:t>4、销售场所属申办人自有的，须提供合法的自有房产证明；租赁的须提供合法的房产证明及不少于一年的租赁协议或租赁意向书，为规避风险，建议在获得代销资格前先签订租赁意向书，待确定获得代销资格后再签订租赁协议并提供给福彩机构。</w:t>
      </w:r>
    </w:p>
    <w:p>
      <w:pPr>
        <w:pStyle w:val="7"/>
        <w:spacing w:before="0" w:beforeAutospacing="0" w:after="0" w:afterAutospacing="0" w:line="360" w:lineRule="auto"/>
        <w:ind w:firstLine="640" w:firstLineChars="200"/>
        <w:jc w:val="both"/>
        <w:rPr>
          <w:rFonts w:ascii="仿宋" w:hAnsi="仿宋" w:eastAsia="仿宋" w:cs="仿宋_GB2312"/>
          <w:sz w:val="32"/>
          <w:szCs w:val="32"/>
          <w:highlight w:val="none"/>
        </w:rPr>
      </w:pPr>
      <w:r>
        <w:rPr>
          <w:rFonts w:hint="eastAsia" w:ascii="仿宋" w:hAnsi="仿宋" w:eastAsia="仿宋" w:cs="仿宋_GB2312"/>
          <w:sz w:val="32"/>
          <w:szCs w:val="32"/>
          <w:highlight w:val="none"/>
        </w:rPr>
        <w:t>5、申办后未取得代销资格的，为申办而投入的资金风险（包括但不限于销售场所租赁费等）由申办人自行承担。</w:t>
      </w:r>
    </w:p>
    <w:p>
      <w:pPr>
        <w:pStyle w:val="7"/>
        <w:spacing w:before="0" w:beforeAutospacing="0" w:after="0" w:afterAutospacing="0" w:line="600" w:lineRule="exact"/>
        <w:ind w:firstLine="640" w:firstLineChars="200"/>
        <w:jc w:val="both"/>
        <w:rPr>
          <w:rFonts w:ascii="仿宋" w:hAnsi="仿宋" w:eastAsia="仿宋" w:cs="仿宋_GB2312"/>
          <w:sz w:val="32"/>
          <w:szCs w:val="32"/>
          <w:highlight w:val="none"/>
        </w:rPr>
      </w:pPr>
      <w:r>
        <w:rPr>
          <w:rFonts w:hint="eastAsia" w:ascii="仿宋" w:hAnsi="仿宋" w:eastAsia="仿宋" w:cs="仿宋_GB2312"/>
          <w:sz w:val="32"/>
          <w:szCs w:val="32"/>
          <w:highlight w:val="none"/>
        </w:rPr>
        <w:t>6、</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eastAsia="zh-CN"/>
        </w:rPr>
        <w:t>学校、</w:t>
      </w:r>
      <w:r>
        <w:rPr>
          <w:rFonts w:hint="eastAsia" w:ascii="仿宋_GB2312" w:hAnsi="仿宋_GB2312" w:eastAsia="仿宋_GB2312" w:cs="仿宋_GB2312"/>
          <w:color w:val="auto"/>
          <w:sz w:val="32"/>
          <w:szCs w:val="32"/>
          <w:highlight w:val="none"/>
        </w:rPr>
        <w:t>幼儿园的距离测量按距离附近学校最近的且正常使用的大门计算；与现有投注站距离测量按距离最近的现有投注站店门口计算。距离测量以福彩机构测量的距离为准。</w:t>
      </w:r>
    </w:p>
    <w:p>
      <w:pPr>
        <w:pStyle w:val="7"/>
        <w:spacing w:before="0" w:beforeAutospacing="0" w:after="0" w:afterAutospacing="0" w:line="600" w:lineRule="exact"/>
        <w:ind w:firstLine="640" w:firstLineChars="200"/>
        <w:jc w:val="both"/>
        <w:rPr>
          <w:rFonts w:hint="eastAsia" w:ascii="仿宋_GB2312" w:hAnsi="仿宋_GB2312" w:eastAsia="仿宋_GB2312" w:cs="仿宋_GB2312"/>
          <w:color w:val="auto"/>
          <w:sz w:val="32"/>
          <w:szCs w:val="32"/>
        </w:rPr>
      </w:pPr>
      <w:r>
        <w:rPr>
          <w:rFonts w:hint="eastAsia" w:ascii="仿宋" w:hAnsi="仿宋" w:eastAsia="仿宋" w:cs="仿宋_GB2312"/>
          <w:sz w:val="32"/>
          <w:szCs w:val="32"/>
          <w:highlight w:val="none"/>
          <w:lang w:val="en-US" w:eastAsia="zh-CN"/>
        </w:rPr>
        <w:t>7</w:t>
      </w:r>
      <w:r>
        <w:rPr>
          <w:rFonts w:hint="eastAsia" w:ascii="仿宋" w:hAnsi="仿宋" w:eastAsia="仿宋" w:cs="仿宋_GB2312"/>
          <w:sz w:val="32"/>
          <w:szCs w:val="32"/>
          <w:highlight w:val="none"/>
        </w:rPr>
        <w:t>、</w:t>
      </w:r>
      <w:r>
        <w:rPr>
          <w:rFonts w:hint="eastAsia" w:ascii="仿宋_GB2312" w:hAnsi="仿宋" w:eastAsia="仿宋_GB2312" w:cs="仿宋_GB2312"/>
          <w:sz w:val="32"/>
          <w:szCs w:val="32"/>
          <w:highlight w:val="none"/>
        </w:rPr>
        <w:t>本细则由</w:t>
      </w:r>
      <w:r>
        <w:rPr>
          <w:rFonts w:hint="eastAsia" w:ascii="仿宋_GB2312" w:hAnsi="仿宋" w:eastAsia="仿宋_GB2312" w:cs="仿宋_GB2312"/>
          <w:sz w:val="32"/>
          <w:szCs w:val="32"/>
          <w:highlight w:val="none"/>
          <w:lang w:eastAsia="zh-CN"/>
        </w:rPr>
        <w:t>湖州市福利彩票发行中心</w:t>
      </w:r>
      <w:r>
        <w:rPr>
          <w:rFonts w:hint="eastAsia" w:ascii="仿宋_GB2312" w:hAnsi="仿宋" w:eastAsia="仿宋_GB2312" w:cs="仿宋_GB2312"/>
          <w:color w:val="000000" w:themeColor="text1"/>
          <w:sz w:val="32"/>
          <w:szCs w:val="32"/>
          <w:highlight w:val="none"/>
        </w:rPr>
        <w:t>负责解释</w:t>
      </w:r>
      <w:r>
        <w:rPr>
          <w:rFonts w:hint="eastAsia" w:ascii="仿宋_GB2312" w:hAnsi="仿宋" w:eastAsia="仿宋_GB2312" w:cs="仿宋_GB2312"/>
          <w:color w:val="000000" w:themeColor="text1"/>
          <w:sz w:val="32"/>
          <w:szCs w:val="32"/>
          <w:highlight w:val="none"/>
          <w:lang w:eastAsia="zh-CN"/>
        </w:rPr>
        <w:t>，</w:t>
      </w:r>
      <w:r>
        <w:rPr>
          <w:rFonts w:hint="eastAsia" w:ascii="仿宋_GB2312" w:hAnsi="仿宋_GB2312" w:eastAsia="仿宋_GB2312" w:cs="仿宋_GB2312"/>
          <w:color w:val="auto"/>
          <w:sz w:val="32"/>
          <w:szCs w:val="32"/>
        </w:rPr>
        <w:t>自</w:t>
      </w:r>
      <w:r>
        <w:rPr>
          <w:rFonts w:hint="eastAsia" w:ascii="仿宋_GB2312" w:hAnsi="仿宋_GB2312" w:eastAsia="仿宋_GB2312" w:cs="仿宋_GB2312"/>
          <w:color w:val="auto"/>
          <w:sz w:val="32"/>
          <w:szCs w:val="32"/>
          <w:lang w:val="en-US" w:eastAsia="zh-CN"/>
        </w:rPr>
        <w:t>2024年5月1日</w:t>
      </w:r>
      <w:r>
        <w:rPr>
          <w:rFonts w:hint="eastAsia" w:ascii="仿宋_GB2312" w:hAnsi="仿宋_GB2312" w:eastAsia="仿宋_GB2312" w:cs="仿宋_GB2312"/>
          <w:color w:val="auto"/>
          <w:sz w:val="32"/>
          <w:szCs w:val="32"/>
        </w:rPr>
        <w:t>起开始执行本细则。</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仿宋_GB2312" w:hAnsi="仿宋" w:eastAsia="仿宋_GB2312" w:cs="仿宋_GB2312"/>
          <w:color w:val="000000" w:themeColor="text1"/>
          <w:sz w:val="32"/>
          <w:szCs w:val="32"/>
          <w:highlight w:val="none"/>
        </w:rPr>
      </w:pPr>
      <w:bookmarkStart w:id="0" w:name="_GoBack"/>
      <w:bookmarkEnd w:id="0"/>
    </w:p>
    <w:p>
      <w:pPr>
        <w:adjustRightInd w:val="0"/>
        <w:snapToGrid w:val="0"/>
        <w:spacing w:line="560" w:lineRule="exact"/>
        <w:ind w:firstLine="640" w:firstLineChars="200"/>
        <w:rPr>
          <w:rFonts w:ascii="仿宋" w:hAnsi="仿宋" w:eastAsia="仿宋" w:cs="仿宋_GB2312"/>
          <w:sz w:val="32"/>
          <w:szCs w:val="32"/>
          <w:highlight w:val="none"/>
        </w:rPr>
      </w:pPr>
    </w:p>
    <w:p>
      <w:pPr>
        <w:adjustRightInd w:val="0"/>
        <w:snapToGrid w:val="0"/>
        <w:spacing w:line="560" w:lineRule="exact"/>
        <w:ind w:firstLine="640" w:firstLineChars="200"/>
        <w:rPr>
          <w:rFonts w:ascii="仿宋" w:hAnsi="仿宋" w:eastAsia="仿宋" w:cs="仿宋_GB2312"/>
          <w:sz w:val="32"/>
          <w:szCs w:val="32"/>
          <w:highlight w:val="none"/>
        </w:rPr>
      </w:pPr>
    </w:p>
    <w:p>
      <w:pPr>
        <w:spacing w:line="600" w:lineRule="exact"/>
        <w:ind w:left="645"/>
        <w:rPr>
          <w:rFonts w:hint="eastAsia" w:ascii="仿宋_GB2312" w:eastAsia="仿宋_GB2312"/>
        </w:rPr>
      </w:pPr>
      <w:r>
        <w:rPr>
          <w:rFonts w:hint="eastAsia" w:ascii="仿宋" w:hAnsi="仿宋" w:eastAsia="仿宋" w:cs="仿宋_GB2312"/>
          <w:sz w:val="32"/>
          <w:szCs w:val="32"/>
          <w:highlight w:val="none"/>
          <w:lang w:eastAsia="zh-CN"/>
        </w:rPr>
        <w:tab/>
      </w:r>
      <w:r>
        <w:rPr>
          <w:rFonts w:hint="eastAsia" w:ascii="仿宋" w:hAnsi="仿宋" w:eastAsia="仿宋" w:cs="仿宋_GB2312"/>
          <w:sz w:val="32"/>
          <w:szCs w:val="32"/>
          <w:highlight w:val="none"/>
          <w:lang w:val="en-US" w:eastAsia="zh-CN"/>
        </w:rPr>
        <w:t xml:space="preserve">                         </w:t>
      </w:r>
    </w:p>
    <w:p>
      <w:pPr>
        <w:tabs>
          <w:tab w:val="left" w:pos="5218"/>
        </w:tabs>
        <w:rPr>
          <w:rFonts w:hint="eastAsia" w:ascii="仿宋" w:hAnsi="仿宋" w:eastAsia="仿宋" w:cs="仿宋_GB2312"/>
          <w:sz w:val="32"/>
          <w:szCs w:val="32"/>
          <w:highlight w:val="none"/>
          <w:lang w:eastAsia="zh-CN"/>
        </w:rPr>
      </w:pPr>
    </w:p>
    <w:p>
      <w:pPr>
        <w:tabs>
          <w:tab w:val="left" w:pos="4993"/>
        </w:tabs>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eastAsia="zh-CN"/>
        </w:rPr>
        <w:tab/>
      </w:r>
    </w:p>
    <w:p>
      <w:pPr>
        <w:tabs>
          <w:tab w:val="left" w:pos="5225"/>
        </w:tabs>
        <w:rPr>
          <w:rFonts w:ascii="仿宋" w:hAnsi="仿宋" w:eastAsia="仿宋" w:cs="仿宋_GB2312"/>
          <w:sz w:val="32"/>
          <w:szCs w:val="32"/>
          <w:highlight w:val="none"/>
        </w:rPr>
      </w:pPr>
      <w:r>
        <w:rPr>
          <w:rFonts w:ascii="仿宋" w:hAnsi="仿宋" w:eastAsia="仿宋" w:cs="仿宋_GB2312"/>
          <w:sz w:val="32"/>
          <w:szCs w:val="32"/>
          <w:highlight w:val="none"/>
        </w:rPr>
        <w:tab/>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0000000000000000000"/>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5ACA"/>
    <w:rsid w:val="00111324"/>
    <w:rsid w:val="0016340E"/>
    <w:rsid w:val="0017317B"/>
    <w:rsid w:val="001C5F45"/>
    <w:rsid w:val="002913ED"/>
    <w:rsid w:val="002F2BEE"/>
    <w:rsid w:val="00300C7D"/>
    <w:rsid w:val="00422F8D"/>
    <w:rsid w:val="0050397C"/>
    <w:rsid w:val="00516D41"/>
    <w:rsid w:val="00557EBE"/>
    <w:rsid w:val="005F2065"/>
    <w:rsid w:val="006917CA"/>
    <w:rsid w:val="00755ACA"/>
    <w:rsid w:val="007873D1"/>
    <w:rsid w:val="0079678E"/>
    <w:rsid w:val="007D0FA0"/>
    <w:rsid w:val="008413F3"/>
    <w:rsid w:val="00856CB6"/>
    <w:rsid w:val="00860190"/>
    <w:rsid w:val="00876ED3"/>
    <w:rsid w:val="008967E5"/>
    <w:rsid w:val="008A016F"/>
    <w:rsid w:val="008B2247"/>
    <w:rsid w:val="008E771F"/>
    <w:rsid w:val="009005F5"/>
    <w:rsid w:val="00A1680B"/>
    <w:rsid w:val="00A55029"/>
    <w:rsid w:val="00A727EB"/>
    <w:rsid w:val="00A81E55"/>
    <w:rsid w:val="00A83C6F"/>
    <w:rsid w:val="00AA7E6A"/>
    <w:rsid w:val="00B54D7A"/>
    <w:rsid w:val="00B931B2"/>
    <w:rsid w:val="00C33DC1"/>
    <w:rsid w:val="00C6165D"/>
    <w:rsid w:val="00CB44B0"/>
    <w:rsid w:val="00CE0E39"/>
    <w:rsid w:val="00D23676"/>
    <w:rsid w:val="00D72DCE"/>
    <w:rsid w:val="00DA1128"/>
    <w:rsid w:val="00E77526"/>
    <w:rsid w:val="00F00B78"/>
    <w:rsid w:val="00F0642A"/>
    <w:rsid w:val="00F4492E"/>
    <w:rsid w:val="00F46D22"/>
    <w:rsid w:val="00F63F53"/>
    <w:rsid w:val="0100480D"/>
    <w:rsid w:val="073E4F65"/>
    <w:rsid w:val="15041384"/>
    <w:rsid w:val="165D3C60"/>
    <w:rsid w:val="1E5155BB"/>
    <w:rsid w:val="1EF8CD5A"/>
    <w:rsid w:val="1F446AAE"/>
    <w:rsid w:val="1F6ABAAB"/>
    <w:rsid w:val="1FEF81C2"/>
    <w:rsid w:val="277AD26B"/>
    <w:rsid w:val="28050903"/>
    <w:rsid w:val="2DFEFFC0"/>
    <w:rsid w:val="2E3D68D2"/>
    <w:rsid w:val="3458732A"/>
    <w:rsid w:val="35CFFC2C"/>
    <w:rsid w:val="35F86D00"/>
    <w:rsid w:val="36B12821"/>
    <w:rsid w:val="3A156DA2"/>
    <w:rsid w:val="3E3BF383"/>
    <w:rsid w:val="3F959ECF"/>
    <w:rsid w:val="3FCF69AC"/>
    <w:rsid w:val="3FDFB900"/>
    <w:rsid w:val="3FFBAF62"/>
    <w:rsid w:val="4F3DB00E"/>
    <w:rsid w:val="4FAFD20B"/>
    <w:rsid w:val="57FA2E77"/>
    <w:rsid w:val="5DA7601B"/>
    <w:rsid w:val="5E2904BD"/>
    <w:rsid w:val="60BBF4E5"/>
    <w:rsid w:val="63317833"/>
    <w:rsid w:val="6E7F2F07"/>
    <w:rsid w:val="6ED88606"/>
    <w:rsid w:val="6FE4FA6A"/>
    <w:rsid w:val="6FE9E0E7"/>
    <w:rsid w:val="6FFF057F"/>
    <w:rsid w:val="731F242C"/>
    <w:rsid w:val="739974DC"/>
    <w:rsid w:val="74D03468"/>
    <w:rsid w:val="77FDD8EA"/>
    <w:rsid w:val="7A3F98D5"/>
    <w:rsid w:val="7A995861"/>
    <w:rsid w:val="7BAD128E"/>
    <w:rsid w:val="7C9803A8"/>
    <w:rsid w:val="7D567A86"/>
    <w:rsid w:val="7D891837"/>
    <w:rsid w:val="7F761B63"/>
    <w:rsid w:val="7FDF07AC"/>
    <w:rsid w:val="7FE83A69"/>
    <w:rsid w:val="7FEF5A1B"/>
    <w:rsid w:val="9FDDD59D"/>
    <w:rsid w:val="A47CCCC1"/>
    <w:rsid w:val="BC7E46CF"/>
    <w:rsid w:val="BDFBF540"/>
    <w:rsid w:val="BEFEE049"/>
    <w:rsid w:val="BFDFDB76"/>
    <w:rsid w:val="BFFBA31C"/>
    <w:rsid w:val="CD5F5105"/>
    <w:rsid w:val="D5F56891"/>
    <w:rsid w:val="D7FB428A"/>
    <w:rsid w:val="DDDF12FA"/>
    <w:rsid w:val="E7F51F8B"/>
    <w:rsid w:val="EAF723B2"/>
    <w:rsid w:val="EB2D8B0B"/>
    <w:rsid w:val="ECFE1FE9"/>
    <w:rsid w:val="EDD3C15E"/>
    <w:rsid w:val="EDDF9164"/>
    <w:rsid w:val="EFCE87CF"/>
    <w:rsid w:val="EFD7EF97"/>
    <w:rsid w:val="EFD90609"/>
    <w:rsid w:val="F6BE9D69"/>
    <w:rsid w:val="FB433A7E"/>
    <w:rsid w:val="FEABA54D"/>
    <w:rsid w:val="FF29AE92"/>
    <w:rsid w:val="FF3F0399"/>
    <w:rsid w:val="FF3FEFAD"/>
    <w:rsid w:val="FFABDF6C"/>
    <w:rsid w:val="FFE7E0EA"/>
    <w:rsid w:val="FFEAEDD3"/>
    <w:rsid w:val="FFFD1AA9"/>
    <w:rsid w:val="FFFFF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basedOn w:val="9"/>
    <w:semiHidden/>
    <w:unhideWhenUsed/>
    <w:qFormat/>
    <w:uiPriority w:val="99"/>
    <w:rPr>
      <w:color w:val="0000FF"/>
      <w:u w:val="single"/>
    </w:rPr>
  </w:style>
  <w:style w:type="character" w:customStyle="1" w:styleId="11">
    <w:name w:val="页眉 Char"/>
    <w:basedOn w:val="9"/>
    <w:link w:val="6"/>
    <w:qFormat/>
    <w:uiPriority w:val="99"/>
    <w:rPr>
      <w:rFonts w:ascii="Calibri" w:hAnsi="Calibri" w:eastAsia="宋体" w:cs="Times New Roman"/>
      <w:sz w:val="18"/>
      <w:szCs w:val="18"/>
    </w:rPr>
  </w:style>
  <w:style w:type="character" w:customStyle="1" w:styleId="12">
    <w:name w:val="页脚 Char"/>
    <w:basedOn w:val="9"/>
    <w:link w:val="5"/>
    <w:qFormat/>
    <w:uiPriority w:val="99"/>
    <w:rPr>
      <w:rFonts w:ascii="Calibri" w:hAnsi="Calibri" w:eastAsia="宋体" w:cs="Times New Roman"/>
      <w:sz w:val="18"/>
      <w:szCs w:val="18"/>
    </w:rPr>
  </w:style>
  <w:style w:type="paragraph" w:styleId="13">
    <w:name w:val="List Paragraph"/>
    <w:basedOn w:val="1"/>
    <w:qFormat/>
    <w:uiPriority w:val="34"/>
    <w:pPr>
      <w:spacing w:line="360" w:lineRule="exact"/>
      <w:ind w:left="851" w:firstLine="420" w:firstLineChars="200"/>
    </w:pPr>
    <w:rPr>
      <w:rFonts w:asciiTheme="minorHAnsi" w:hAnsiTheme="minorHAnsi" w:eastAsiaTheme="minorEastAsia" w:cstheme="minorBidi"/>
    </w:rPr>
  </w:style>
  <w:style w:type="character" w:customStyle="1" w:styleId="14">
    <w:name w:val="批注框文本 Char"/>
    <w:basedOn w:val="9"/>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358</Words>
  <Characters>2046</Characters>
  <Lines>17</Lines>
  <Paragraphs>4</Paragraphs>
  <TotalTime>0</TotalTime>
  <ScaleCrop>false</ScaleCrop>
  <LinksUpToDate>false</LinksUpToDate>
  <CharactersWithSpaces>2400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2018-08-12T01:59:00Z</dcterms:created>
  <dc:creator>lenovo</dc:creator>
  <cp:lastModifiedBy>Huzhou</cp:lastModifiedBy>
  <cp:lastPrinted>2023-08-14T10:28:00Z</cp:lastPrinted>
  <dcterms:modified xsi:type="dcterms:W3CDTF">2024-05-09T15:52:02Z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